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01.07.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20</w:t>
      </w:r>
      <w:r>
        <w:rPr>
          <w:rFonts w:ascii="Times New Roman" w:hAnsi="Times New Roman" w:cs="Times New Roman"/>
          <w:b/>
          <w:sz w:val="26"/>
          <w:szCs w:val="26"/>
        </w:rPr>
        <w:t xml:space="preserve">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1"/>
        <w:ind w:firstLine="708"/>
        <w:jc w:val="center"/>
        <w:spacing w:line="360" w:lineRule="auto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Общественный совет при самарском Росреестре обсудил тему капитализации территорий</w:t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p>
      <w:pPr>
        <w:pStyle w:val="681"/>
        <w:ind w:firstLine="708"/>
        <w:jc w:val="center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left="0" w:right="0" w:firstLine="0"/>
        <w:jc w:val="both"/>
        <w:spacing w:before="0" w:after="120" w:line="360" w:lineRule="auto"/>
        <w:shd w:val="clear" w:color="ffffff" w:fill="ffffff"/>
        <w:rPr>
          <w:rFonts w:ascii="Tinos" w:hAnsi="Tinos" w:eastAsia="Tinos" w:cs="Tinos"/>
          <w:b/>
          <w:bCs/>
          <w:i w:val="0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333333"/>
          <w:sz w:val="28"/>
          <w:szCs w:val="28"/>
          <w:highlight w:val="none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Заседание Общественного совета при Управлении Росреестра по Самарской области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было посвящено теме к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white"/>
        </w:rPr>
        <w:t xml:space="preserve">апитализации территорий.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Спикером от регионального ведомства на мероприятии выступил начальник отдела правового обеспечения </w:t>
      </w:r>
      <w:r>
        <w:rPr>
          <w:rFonts w:ascii="Tinos" w:hAnsi="Tinos" w:eastAsia="Tinos" w:cs="Tinos"/>
          <w:b/>
          <w:bCs/>
          <w:i w:val="0"/>
          <w:iCs w:val="0"/>
          <w:color w:val="000000"/>
          <w:sz w:val="28"/>
          <w:szCs w:val="28"/>
          <w:highlight w:val="none"/>
        </w:rPr>
        <w:t xml:space="preserve">Константин Минин.</w:t>
      </w:r>
      <w:r>
        <w:rPr>
          <w:rFonts w:ascii="Tinos" w:hAnsi="Tinos" w:eastAsia="Tinos" w:cs="Tinos"/>
          <w:b/>
          <w:bCs/>
          <w:i w:val="0"/>
          <w:color w:val="000000"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i w:val="0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before="0" w:after="120" w:line="360" w:lineRule="auto"/>
        <w:shd w:val="clear" w:color="ffffff" w:fill="ffffff"/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white"/>
        </w:rPr>
        <w:t xml:space="preserve">        В своем докладе он отметил, что капитализация территорий - это совокупная стоимость земельных участков и объектов капитального строительства страны, которую можно разделить на каждый регион, муниципалитет, город. </w:t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white"/>
        </w:rPr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white"/>
        </w:rPr>
      </w:r>
    </w:p>
    <w:p>
      <w:pPr>
        <w:ind w:left="0" w:right="0" w:firstLine="567"/>
        <w:jc w:val="both"/>
        <w:spacing w:before="0" w:after="120" w:line="360" w:lineRule="auto"/>
        <w:shd w:val="clear" w:color="ffffff" w:fill="ffffff"/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white"/>
        </w:rPr>
        <w:t xml:space="preserve">По оценкам Росреестра вся недвижимость в Росс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white"/>
        </w:rPr>
        <w:t xml:space="preserve">ийской Федерации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white"/>
        </w:rPr>
        <w:t xml:space="preserve">стоит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white"/>
        </w:rPr>
        <w:t xml:space="preserve">– </w:t>
      </w:r>
      <w:r>
        <w:rPr>
          <w:rFonts w:ascii="Tinos" w:hAnsi="Tinos" w:eastAsia="Tinos" w:cs="Tinos"/>
          <w:b/>
          <w:i w:val="0"/>
          <w:iCs w:val="0"/>
          <w:color w:val="000000"/>
          <w:sz w:val="28"/>
          <w:szCs w:val="28"/>
          <w:highlight w:val="white"/>
        </w:rPr>
        <w:t xml:space="preserve">921 трлн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white"/>
        </w:rPr>
        <w:t xml:space="preserve"> рублей.</w:t>
      </w:r>
      <w:r>
        <w:rPr>
          <w:rFonts w:ascii="Liberation Sans" w:hAnsi="Liberation Sans" w:eastAsia="Liberation Sans" w:cs="Liberation Sans"/>
          <w:i/>
          <w:color w:val="000000"/>
          <w:sz w:val="27"/>
          <w:highlight w:val="none"/>
        </w:rPr>
        <w:t xml:space="preserve">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З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white"/>
        </w:rPr>
        <w:t xml:space="preserve">а последние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white"/>
        </w:rPr>
        <w:t xml:space="preserve">6 лет капитализация выросла на </w:t>
      </w:r>
      <w:r>
        <w:rPr>
          <w:rFonts w:ascii="Tinos" w:hAnsi="Tinos" w:eastAsia="Tinos" w:cs="Tinos"/>
          <w:b/>
          <w:i w:val="0"/>
          <w:iCs w:val="0"/>
          <w:color w:val="000000"/>
          <w:sz w:val="28"/>
          <w:szCs w:val="28"/>
          <w:highlight w:val="white"/>
        </w:rPr>
        <w:t xml:space="preserve">220 трлн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white"/>
        </w:rPr>
        <w:t xml:space="preserve"> рублей.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white"/>
        </w:rPr>
        <w:t xml:space="preserve">Для выполнения задач, поставленных руководством страны,  к 2030 году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white"/>
        </w:rPr>
        <w:t xml:space="preserve">необходимо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white"/>
        </w:rPr>
        <w:t xml:space="preserve"> выйти на цифру в 1 квадриллион рублей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.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Для этого необходимо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формирование полного и точного реестра недвижимости; верификация всех данных и единая система классификаторов;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выявление для вовлечения в оборот 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до 2030 года</w:t>
      </w:r>
      <w:r>
        <w:rPr>
          <w:rFonts w:ascii="Tinos" w:hAnsi="Tinos" w:eastAsia="Tinos" w:cs="Tinos"/>
          <w:b/>
          <w:color w:val="000000"/>
          <w:sz w:val="28"/>
          <w:szCs w:val="28"/>
        </w:rPr>
        <w:t xml:space="preserve"> 500 тыс. га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земельных участков;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обеспечение максимально эффективного использования государственного и муниципального имущества.</w:t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</w:rPr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0" w:after="120" w:line="360" w:lineRule="auto"/>
        <w:shd w:val="clear" w:color="ffffff" w:fill="ffffff"/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</w:rPr>
        <w:t xml:space="preserve">Ключевыми задачами по повышению капитализации территорий являются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завершение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инвентаризации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объектов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недвижимости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в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стране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в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целях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наполнения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реестра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недвижимости, а также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создание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основы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для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развития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инвестиций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и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возврата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инфраструктурных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и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бюджетных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кредитов.</w:t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  <w14:ligatures w14:val="none"/>
        </w:rPr>
      </w:r>
      <w:r>
        <w:rPr>
          <w:rFonts w:ascii="Tinos" w:hAnsi="Tinos" w:eastAsia="Tinos" w:cs="Tinos"/>
          <w:bCs w:val="0"/>
          <w:i w:val="0"/>
          <w:color w:val="000000"/>
          <w:sz w:val="28"/>
          <w:szCs w:val="28"/>
          <w:highlight w:val="none"/>
          <w14:ligatures w14:val="none"/>
        </w:rPr>
      </w:r>
    </w:p>
    <w:p>
      <w:pPr>
        <w:ind w:left="0" w:right="0" w:firstLine="0"/>
        <w:jc w:val="both"/>
        <w:spacing w:before="0" w:after="120" w:line="360" w:lineRule="auto"/>
        <w:shd w:val="clear" w:color="ffffff" w:fill="ffffff"/>
        <w:rPr>
          <w:rFonts w:ascii="Tinos" w:hAnsi="Tinos" w:eastAsia="Tinos" w:cs="Tinos"/>
          <w:b w:val="0"/>
          <w:bCs/>
          <w:i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      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Член Общественного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совета при самарском Росреестре </w:t>
      </w:r>
      <w:r>
        <w:rPr>
          <w:rFonts w:ascii="Tinos" w:hAnsi="Tinos" w:eastAsia="Tinos" w:cs="Tinos"/>
          <w:b/>
          <w:bCs/>
          <w:i w:val="0"/>
          <w:iCs w:val="0"/>
          <w:color w:val="000000"/>
          <w:sz w:val="28"/>
          <w:szCs w:val="28"/>
          <w:highlight w:val="none"/>
        </w:rPr>
        <w:t xml:space="preserve">Максим Куприн</w:t>
      </w:r>
      <w:r>
        <w:rPr>
          <w:rFonts w:ascii="Tinos" w:hAnsi="Tinos" w:eastAsia="Tinos" w:cs="Tinos"/>
          <w:b/>
          <w:bCs/>
          <w:i w:val="0"/>
          <w:iCs w:val="0"/>
          <w:color w:val="00000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подчеркнул: </w:t>
      </w: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«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Росреестром разработаны и уже приняты 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нормативные решения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: установлены сроки освоения земельных участков,  определены 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при</w:t>
      </w:r>
      <w:r>
        <w:rPr>
          <w:rFonts w:ascii="Tinos" w:hAnsi="Tinos" w:eastAsia="Tinos" w:cs="Tinos"/>
          <w:b w:val="0"/>
          <w:bCs w:val="0"/>
          <w:i/>
          <w:iCs/>
          <w:color w:val="000000"/>
          <w:sz w:val="28"/>
          <w:szCs w:val="28"/>
          <w:highlight w:val="white"/>
        </w:rPr>
        <w:t xml:space="preserve">знаки</w:t>
      </w:r>
      <w:r>
        <w:rPr>
          <w:rFonts w:ascii="Tinos" w:hAnsi="Tinos" w:eastAsia="Tinos" w:cs="Tinos"/>
          <w:b w:val="0"/>
          <w:bCs w:val="0"/>
          <w:i/>
          <w:iCs/>
          <w:color w:val="000000"/>
          <w:sz w:val="28"/>
          <w:szCs w:val="28"/>
          <w:highlight w:val="white"/>
        </w:rPr>
        <w:t xml:space="preserve"> их </w:t>
      </w:r>
      <w:r>
        <w:rPr>
          <w:rFonts w:ascii="Tinos" w:hAnsi="Tinos" w:eastAsia="Tinos" w:cs="Tinos"/>
          <w:b w:val="0"/>
          <w:bCs w:val="0"/>
          <w:i/>
          <w:iCs/>
          <w:color w:val="000000"/>
          <w:sz w:val="28"/>
          <w:szCs w:val="28"/>
          <w:highlight w:val="white"/>
        </w:rPr>
        <w:t xml:space="preserve">неиспользования,</w:t>
      </w:r>
      <w:r>
        <w:rPr>
          <w:rFonts w:ascii="Tinos" w:hAnsi="Tinos" w:eastAsia="Tinos" w:cs="Tinos"/>
          <w:b w:val="0"/>
          <w:bCs w:val="0"/>
          <w:i/>
          <w:iCs/>
          <w:color w:val="000000"/>
          <w:sz w:val="28"/>
          <w:szCs w:val="28"/>
          <w:highlight w:val="white"/>
        </w:rPr>
        <w:t xml:space="preserve"> стала действовать </w:t>
      </w:r>
      <w:r>
        <w:rPr>
          <w:rFonts w:ascii="Tinos" w:hAnsi="Tinos" w:eastAsia="Tinos" w:cs="Tinos"/>
          <w:b w:val="0"/>
          <w:bCs w:val="0"/>
          <w:i/>
          <w:iCs/>
          <w:color w:val="000000"/>
          <w:sz w:val="28"/>
          <w:szCs w:val="28"/>
          <w:highlight w:val="white"/>
        </w:rPr>
        <w:t xml:space="preserve">реформа</w:t>
      </w:r>
      <w:r>
        <w:rPr>
          <w:rFonts w:ascii="Tinos" w:hAnsi="Tinos" w:eastAsia="Tinos" w:cs="Tinos"/>
          <w:b w:val="0"/>
          <w:bCs w:val="0"/>
          <w:i/>
          <w:iCs/>
          <w:color w:val="000000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b w:val="0"/>
          <w:bCs w:val="0"/>
          <w:i/>
          <w:iCs/>
          <w:color w:val="000000"/>
          <w:sz w:val="28"/>
          <w:szCs w:val="28"/>
          <w:highlight w:val="white"/>
        </w:rPr>
        <w:t xml:space="preserve">видов</w:t>
      </w:r>
      <w:r>
        <w:rPr>
          <w:rFonts w:ascii="Tinos" w:hAnsi="Tinos" w:eastAsia="Tinos" w:cs="Tinos"/>
          <w:b w:val="0"/>
          <w:bCs w:val="0"/>
          <w:i/>
          <w:iCs/>
          <w:color w:val="000000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b w:val="0"/>
          <w:bCs w:val="0"/>
          <w:i/>
          <w:iCs/>
          <w:color w:val="000000"/>
          <w:sz w:val="28"/>
          <w:szCs w:val="28"/>
          <w:highlight w:val="white"/>
        </w:rPr>
        <w:t xml:space="preserve">разрешенного использования</w:t>
      </w:r>
      <w:r>
        <w:rPr>
          <w:rFonts w:ascii="Tinos" w:hAnsi="Tinos" w:eastAsia="Tinos" w:cs="Tinos"/>
          <w:b w:val="0"/>
          <w:bCs w:val="0"/>
          <w:i/>
          <w:iCs/>
          <w:color w:val="000000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b w:val="0"/>
          <w:bCs w:val="0"/>
          <w:i/>
          <w:iCs/>
          <w:color w:val="000000"/>
          <w:sz w:val="28"/>
          <w:szCs w:val="28"/>
          <w:highlight w:val="white"/>
        </w:rPr>
        <w:t xml:space="preserve">земельных участков</w:t>
      </w:r>
      <w:r>
        <w:rPr>
          <w:rFonts w:ascii="Tinos" w:hAnsi="Tinos" w:eastAsia="Tinos" w:cs="Tinos"/>
          <w:b w:val="0"/>
          <w:bCs w:val="0"/>
          <w:i/>
          <w:iCs/>
          <w:color w:val="000000"/>
          <w:sz w:val="28"/>
          <w:szCs w:val="28"/>
          <w:highlight w:val="white"/>
        </w:rPr>
        <w:t xml:space="preserve">, </w:t>
      </w:r>
      <w:r>
        <w:rPr>
          <w:rFonts w:ascii="Tinos" w:hAnsi="Tinos" w:eastAsia="Tinos" w:cs="Tinos"/>
          <w:b w:val="0"/>
          <w:bCs w:val="0"/>
          <w:i/>
          <w:iCs/>
          <w:color w:val="000000"/>
          <w:sz w:val="28"/>
          <w:szCs w:val="28"/>
          <w:highlight w:val="white"/>
        </w:rPr>
        <w:t xml:space="preserve">а также в отношении объектов недвижимости реализован </w:t>
      </w:r>
      <w:r>
        <w:rPr>
          <w:rFonts w:ascii="Tinos" w:hAnsi="Tinos" w:eastAsia="Tinos" w:cs="Tinos"/>
          <w:b w:val="0"/>
          <w:bCs w:val="0"/>
          <w:i/>
          <w:iCs/>
          <w:color w:val="000000"/>
          <w:sz w:val="28"/>
          <w:szCs w:val="28"/>
          <w:highlight w:val="white"/>
        </w:rPr>
        <w:t xml:space="preserve">принцип</w:t>
      </w:r>
      <w:r>
        <w:rPr>
          <w:rFonts w:ascii="Tinos" w:hAnsi="Tinos" w:eastAsia="Tinos" w:cs="Tinos"/>
          <w:b w:val="0"/>
          <w:bCs w:val="0"/>
          <w:i/>
          <w:iCs/>
          <w:color w:val="000000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b w:val="0"/>
          <w:bCs w:val="0"/>
          <w:i/>
          <w:iCs/>
          <w:color w:val="000000"/>
          <w:sz w:val="28"/>
          <w:szCs w:val="28"/>
          <w:highlight w:val="white"/>
        </w:rPr>
        <w:t xml:space="preserve">«построил</w:t>
      </w:r>
      <w:r>
        <w:rPr>
          <w:rFonts w:ascii="Tinos" w:hAnsi="Tinos" w:eastAsia="Tinos" w:cs="Tinos"/>
          <w:b w:val="0"/>
          <w:bCs w:val="0"/>
          <w:i/>
          <w:iCs/>
          <w:color w:val="000000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b w:val="0"/>
          <w:bCs w:val="0"/>
          <w:i/>
          <w:iCs/>
          <w:color w:val="000000"/>
          <w:sz w:val="28"/>
          <w:szCs w:val="28"/>
          <w:highlight w:val="white"/>
        </w:rPr>
        <w:t xml:space="preserve">–</w:t>
      </w:r>
      <w:r>
        <w:rPr>
          <w:rFonts w:ascii="Tinos" w:hAnsi="Tinos" w:eastAsia="Tinos" w:cs="Tinos"/>
          <w:b w:val="0"/>
          <w:bCs w:val="0"/>
          <w:i/>
          <w:iCs/>
          <w:color w:val="000000"/>
          <w:sz w:val="28"/>
          <w:szCs w:val="28"/>
          <w:highlight w:val="white"/>
        </w:rPr>
        <w:t xml:space="preserve"> оформи». Благодаря инициативам Росреестра, будут достигнуты высокие результаты в поставленных задачах</w:t>
      </w:r>
      <w:r>
        <w:rPr>
          <w:rFonts w:ascii="Tinos" w:hAnsi="Tinos" w:eastAsia="Tinos" w:cs="Tinos"/>
          <w:b w:val="0"/>
          <w:bCs w:val="0"/>
          <w:i/>
          <w:iCs/>
          <w:color w:val="000000"/>
          <w:sz w:val="28"/>
          <w:szCs w:val="28"/>
          <w:highlight w:val="white"/>
        </w:rPr>
        <w:t xml:space="preserve">».</w:t>
      </w:r>
      <w:r>
        <w:rPr>
          <w:rFonts w:ascii="Tinos" w:hAnsi="Tinos" w:eastAsia="Tinos" w:cs="Tinos"/>
          <w:b w:val="0"/>
          <w:bCs w:val="0"/>
          <w:i/>
          <w:iCs/>
          <w:color w:val="000000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b w:val="0"/>
          <w:bCs/>
          <w:i/>
          <w:color w:val="000000"/>
          <w:sz w:val="28"/>
          <w:szCs w:val="28"/>
          <w:highlight w:val="none"/>
          <w14:ligatures w14:val="none"/>
        </w:rPr>
      </w:r>
      <w:r>
        <w:rPr>
          <w:rFonts w:ascii="Tinos" w:hAnsi="Tinos" w:eastAsia="Tinos" w:cs="Tinos"/>
          <w:b w:val="0"/>
          <w:bCs/>
          <w:i/>
          <w:color w:val="000000"/>
          <w:sz w:val="28"/>
          <w:szCs w:val="28"/>
          <w:highlight w:val="none"/>
          <w14:ligatures w14:val="none"/>
        </w:rPr>
      </w:r>
    </w:p>
    <w:p>
      <w:pPr>
        <w:ind w:left="0" w:right="0" w:firstLine="567"/>
        <w:jc w:val="both"/>
        <w:spacing w:before="0" w:after="120" w:line="360" w:lineRule="auto"/>
        <w:shd w:val="clear" w:color="ffffff" w:fill="ffffff"/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t xml:space="preserve">Необходимо о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t xml:space="preserve">тметить, что на территории Самарской области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t xml:space="preserve">работает Оперативный штаб, в полномочия которого, наряду с реализацией государственной программы РФ «Национальная система пространственных данных», рассматриваются вопросы по капитализации территории.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  <w14:ligatures w14:val="none"/>
        </w:rPr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  <w14:ligatures w14:val="none"/>
        </w:rPr>
      </w:r>
    </w:p>
    <w:p>
      <w:pPr>
        <w:ind w:left="0" w:right="0" w:firstLine="0"/>
        <w:jc w:val="both"/>
        <w:spacing w:before="0" w:after="120" w:line="360" w:lineRule="auto"/>
        <w:shd w:val="clear" w:color="ffffff" w:fill="ffffff"/>
        <w:rPr>
          <w:rFonts w:ascii="Tinos" w:hAnsi="Tinos" w:eastAsia="Tinos" w:cs="Tinos"/>
          <w:bCs w:val="0"/>
          <w:i w:val="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i w:val="0"/>
          <w:iCs w:val="0"/>
          <w:color w:val="000000"/>
          <w:sz w:val="28"/>
          <w:szCs w:val="28"/>
          <w:highlight w:val="none"/>
        </w:rPr>
        <w:t xml:space="preserve">      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t xml:space="preserve">Исполняющая обязанности руководителя самарского Росреестра </w:t>
      </w:r>
      <w:r>
        <w:rPr>
          <w:rFonts w:ascii="Tinos" w:hAnsi="Tinos" w:eastAsia="Tinos" w:cs="Tinos"/>
          <w:b/>
          <w:bCs/>
          <w:color w:val="000000"/>
          <w:sz w:val="28"/>
          <w:szCs w:val="28"/>
          <w:highlight w:val="none"/>
        </w:rPr>
        <w:t xml:space="preserve">Татьяна Титова</w:t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  <w:t xml:space="preserve"> отметила: 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</w:rPr>
        <w:t xml:space="preserve">«Решая поставленные задачи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, </w:t>
      </w:r>
      <w:r>
        <w:rPr>
          <w:rFonts w:ascii="Tinos" w:hAnsi="Tinos" w:eastAsia="Tinos" w:cs="Tinos"/>
          <w:b/>
          <w:bCs/>
          <w:i/>
          <w:iCs/>
          <w:color w:val="000000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b w:val="0"/>
          <w:bCs w:val="0"/>
          <w:i/>
          <w:iCs/>
          <w:color w:val="000000"/>
          <w:sz w:val="28"/>
          <w:szCs w:val="28"/>
          <w:highlight w:val="white"/>
        </w:rPr>
        <w:t xml:space="preserve">необходимо акцентировать внимание</w:t>
      </w:r>
      <w:r>
        <w:rPr>
          <w:rFonts w:ascii="Tinos" w:hAnsi="Tinos" w:eastAsia="Tinos" w:cs="Tinos"/>
          <w:b/>
          <w:bCs/>
          <w:i/>
          <w:iCs/>
          <w:color w:val="000000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b w:val="0"/>
          <w:bCs w:val="0"/>
          <w:i/>
          <w:iCs/>
          <w:color w:val="000000"/>
          <w:sz w:val="28"/>
          <w:szCs w:val="28"/>
          <w:highlight w:val="white"/>
        </w:rPr>
        <w:t xml:space="preserve">на 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важности системного подхода, цифровизации процессов, межведомственного взаимодействия и реализации конкретных проектов для по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вышения капитализации Самарского региона».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bCs w:val="0"/>
          <w:i w:val="0"/>
          <w:sz w:val="28"/>
          <w:szCs w:val="28"/>
          <w:highlight w:val="none"/>
        </w:rPr>
      </w:r>
      <w:r>
        <w:rPr>
          <w:rFonts w:ascii="Tinos" w:hAnsi="Tinos" w:eastAsia="Tinos" w:cs="Tinos"/>
          <w:bCs w:val="0"/>
          <w:i w:val="0"/>
          <w:sz w:val="28"/>
          <w:szCs w:val="28"/>
          <w:highlight w:val="none"/>
        </w:rPr>
      </w:r>
    </w:p>
    <w:p>
      <w:pPr>
        <w:ind w:left="0" w:right="0" w:firstLine="0"/>
        <w:jc w:val="both"/>
        <w:spacing w:before="0" w:after="300" w:line="276" w:lineRule="auto"/>
        <w:rPr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680503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096634" cy="1841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0.05pt;height:1.4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eastAsia="ru-RU"/>
        </w:rPr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r>
        <w:rPr>
          <w:rFonts w:ascii="Times New Roman" w:hAnsi="Times New Roman" w:cs="Times New Roman"/>
          <w:sz w:val="28"/>
          <w:szCs w:val="28"/>
        </w:rPr>
        <w:t xml:space="preserve">Росреестра</w:t>
      </w:r>
      <w:r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Symbol">
    <w:panose1 w:val="05010000000000000000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2">
    <w:name w:val="Heading 1"/>
    <w:basedOn w:val="840"/>
    <w:next w:val="840"/>
    <w:link w:val="66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3">
    <w:name w:val="Heading 1 Char"/>
    <w:basedOn w:val="841"/>
    <w:link w:val="662"/>
    <w:uiPriority w:val="9"/>
    <w:rPr>
      <w:rFonts w:ascii="Arial" w:hAnsi="Arial" w:eastAsia="Arial" w:cs="Arial"/>
      <w:sz w:val="40"/>
      <w:szCs w:val="40"/>
    </w:rPr>
  </w:style>
  <w:style w:type="paragraph" w:styleId="664">
    <w:name w:val="Heading 2"/>
    <w:basedOn w:val="840"/>
    <w:next w:val="840"/>
    <w:link w:val="66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5">
    <w:name w:val="Heading 2 Char"/>
    <w:basedOn w:val="841"/>
    <w:link w:val="664"/>
    <w:uiPriority w:val="9"/>
    <w:rPr>
      <w:rFonts w:ascii="Arial" w:hAnsi="Arial" w:eastAsia="Arial" w:cs="Arial"/>
      <w:sz w:val="34"/>
    </w:rPr>
  </w:style>
  <w:style w:type="paragraph" w:styleId="666">
    <w:name w:val="Heading 3"/>
    <w:basedOn w:val="840"/>
    <w:next w:val="840"/>
    <w:link w:val="66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7">
    <w:name w:val="Heading 3 Char"/>
    <w:basedOn w:val="841"/>
    <w:link w:val="666"/>
    <w:uiPriority w:val="9"/>
    <w:rPr>
      <w:rFonts w:ascii="Arial" w:hAnsi="Arial" w:eastAsia="Arial" w:cs="Arial"/>
      <w:sz w:val="30"/>
      <w:szCs w:val="30"/>
    </w:rPr>
  </w:style>
  <w:style w:type="paragraph" w:styleId="668">
    <w:name w:val="Heading 4"/>
    <w:basedOn w:val="840"/>
    <w:next w:val="840"/>
    <w:link w:val="66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9">
    <w:name w:val="Heading 4 Char"/>
    <w:basedOn w:val="841"/>
    <w:link w:val="668"/>
    <w:uiPriority w:val="9"/>
    <w:rPr>
      <w:rFonts w:ascii="Arial" w:hAnsi="Arial" w:eastAsia="Arial" w:cs="Arial"/>
      <w:b/>
      <w:bCs/>
      <w:sz w:val="26"/>
      <w:szCs w:val="26"/>
    </w:rPr>
  </w:style>
  <w:style w:type="paragraph" w:styleId="670">
    <w:name w:val="Heading 5"/>
    <w:basedOn w:val="840"/>
    <w:next w:val="840"/>
    <w:link w:val="6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1">
    <w:name w:val="Heading 5 Char"/>
    <w:basedOn w:val="841"/>
    <w:link w:val="670"/>
    <w:uiPriority w:val="9"/>
    <w:rPr>
      <w:rFonts w:ascii="Arial" w:hAnsi="Arial" w:eastAsia="Arial" w:cs="Arial"/>
      <w:b/>
      <w:bCs/>
      <w:sz w:val="24"/>
      <w:szCs w:val="24"/>
    </w:rPr>
  </w:style>
  <w:style w:type="paragraph" w:styleId="672">
    <w:name w:val="Heading 6"/>
    <w:basedOn w:val="840"/>
    <w:next w:val="840"/>
    <w:link w:val="67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3">
    <w:name w:val="Heading 6 Char"/>
    <w:basedOn w:val="841"/>
    <w:link w:val="672"/>
    <w:uiPriority w:val="9"/>
    <w:rPr>
      <w:rFonts w:ascii="Arial" w:hAnsi="Arial" w:eastAsia="Arial" w:cs="Arial"/>
      <w:b/>
      <w:bCs/>
      <w:sz w:val="22"/>
      <w:szCs w:val="22"/>
    </w:rPr>
  </w:style>
  <w:style w:type="paragraph" w:styleId="674">
    <w:name w:val="Heading 7"/>
    <w:basedOn w:val="840"/>
    <w:next w:val="840"/>
    <w:link w:val="67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5">
    <w:name w:val="Heading 7 Char"/>
    <w:basedOn w:val="841"/>
    <w:link w:val="67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6">
    <w:name w:val="Heading 8"/>
    <w:basedOn w:val="840"/>
    <w:next w:val="840"/>
    <w:link w:val="67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7">
    <w:name w:val="Heading 8 Char"/>
    <w:basedOn w:val="841"/>
    <w:link w:val="676"/>
    <w:uiPriority w:val="9"/>
    <w:rPr>
      <w:rFonts w:ascii="Arial" w:hAnsi="Arial" w:eastAsia="Arial" w:cs="Arial"/>
      <w:i/>
      <w:iCs/>
      <w:sz w:val="22"/>
      <w:szCs w:val="22"/>
    </w:rPr>
  </w:style>
  <w:style w:type="paragraph" w:styleId="678">
    <w:name w:val="Heading 9"/>
    <w:basedOn w:val="840"/>
    <w:next w:val="840"/>
    <w:link w:val="67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9">
    <w:name w:val="Heading 9 Char"/>
    <w:basedOn w:val="841"/>
    <w:link w:val="678"/>
    <w:uiPriority w:val="9"/>
    <w:rPr>
      <w:rFonts w:ascii="Arial" w:hAnsi="Arial" w:eastAsia="Arial" w:cs="Arial"/>
      <w:i/>
      <w:iCs/>
      <w:sz w:val="21"/>
      <w:szCs w:val="21"/>
    </w:rPr>
  </w:style>
  <w:style w:type="paragraph" w:styleId="680">
    <w:name w:val="List Paragraph"/>
    <w:basedOn w:val="840"/>
    <w:uiPriority w:val="34"/>
    <w:qFormat/>
    <w:pPr>
      <w:contextualSpacing/>
      <w:ind w:left="720"/>
    </w:pPr>
  </w:style>
  <w:style w:type="paragraph" w:styleId="681">
    <w:name w:val="No Spacing"/>
    <w:uiPriority w:val="1"/>
    <w:qFormat/>
    <w:pPr>
      <w:spacing w:before="0" w:after="0" w:line="240" w:lineRule="auto"/>
    </w:pPr>
  </w:style>
  <w:style w:type="paragraph" w:styleId="682">
    <w:name w:val="Title"/>
    <w:basedOn w:val="840"/>
    <w:next w:val="840"/>
    <w:link w:val="68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3">
    <w:name w:val="Title Char"/>
    <w:basedOn w:val="841"/>
    <w:link w:val="682"/>
    <w:uiPriority w:val="10"/>
    <w:rPr>
      <w:sz w:val="48"/>
      <w:szCs w:val="48"/>
    </w:rPr>
  </w:style>
  <w:style w:type="paragraph" w:styleId="684">
    <w:name w:val="Subtitle"/>
    <w:basedOn w:val="840"/>
    <w:next w:val="840"/>
    <w:link w:val="685"/>
    <w:uiPriority w:val="11"/>
    <w:qFormat/>
    <w:pPr>
      <w:spacing w:before="200" w:after="200"/>
    </w:pPr>
    <w:rPr>
      <w:sz w:val="24"/>
      <w:szCs w:val="24"/>
    </w:rPr>
  </w:style>
  <w:style w:type="character" w:styleId="685">
    <w:name w:val="Subtitle Char"/>
    <w:basedOn w:val="841"/>
    <w:link w:val="684"/>
    <w:uiPriority w:val="11"/>
    <w:rPr>
      <w:sz w:val="24"/>
      <w:szCs w:val="24"/>
    </w:rPr>
  </w:style>
  <w:style w:type="paragraph" w:styleId="686">
    <w:name w:val="Quote"/>
    <w:basedOn w:val="840"/>
    <w:next w:val="840"/>
    <w:link w:val="687"/>
    <w:uiPriority w:val="29"/>
    <w:qFormat/>
    <w:pPr>
      <w:ind w:left="720" w:right="720"/>
    </w:pPr>
    <w:rPr>
      <w:i/>
    </w:rPr>
  </w:style>
  <w:style w:type="character" w:styleId="687">
    <w:name w:val="Quote Char"/>
    <w:link w:val="686"/>
    <w:uiPriority w:val="29"/>
    <w:rPr>
      <w:i/>
    </w:rPr>
  </w:style>
  <w:style w:type="paragraph" w:styleId="688">
    <w:name w:val="Intense Quote"/>
    <w:basedOn w:val="840"/>
    <w:next w:val="840"/>
    <w:link w:val="68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9">
    <w:name w:val="Intense Quote Char"/>
    <w:link w:val="688"/>
    <w:uiPriority w:val="30"/>
    <w:rPr>
      <w:i/>
    </w:rPr>
  </w:style>
  <w:style w:type="paragraph" w:styleId="690">
    <w:name w:val="Header"/>
    <w:basedOn w:val="840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Header Char"/>
    <w:basedOn w:val="841"/>
    <w:link w:val="690"/>
    <w:uiPriority w:val="99"/>
  </w:style>
  <w:style w:type="paragraph" w:styleId="692">
    <w:name w:val="Footer"/>
    <w:basedOn w:val="840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Footer Char"/>
    <w:basedOn w:val="841"/>
    <w:link w:val="692"/>
    <w:uiPriority w:val="99"/>
  </w:style>
  <w:style w:type="paragraph" w:styleId="694">
    <w:name w:val="Caption"/>
    <w:basedOn w:val="840"/>
    <w:next w:val="84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5">
    <w:name w:val="Caption Char"/>
    <w:basedOn w:val="694"/>
    <w:link w:val="692"/>
    <w:uiPriority w:val="99"/>
  </w:style>
  <w:style w:type="table" w:styleId="696">
    <w:name w:val="Table Grid"/>
    <w:basedOn w:val="84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Table Grid Light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Plain Table 1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2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>
    <w:name w:val="Plain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Plain Table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>
    <w:name w:val="Grid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>
    <w:name w:val="Grid Table 4 - Accent 1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6">
    <w:name w:val="Grid Table 4 - Accent 2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7">
    <w:name w:val="Grid Table 4 - Accent 3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8">
    <w:name w:val="Grid Table 4 - Accent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9">
    <w:name w:val="Grid Table 4 - Accent 5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0">
    <w:name w:val="Grid Table 4 - Accent 6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1">
    <w:name w:val="Grid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8">
    <w:name w:val="Grid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9">
    <w:name w:val="Grid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0">
    <w:name w:val="Grid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1">
    <w:name w:val="Grid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2">
    <w:name w:val="Grid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3">
    <w:name w:val="Grid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0">
    <w:name w:val="List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1">
    <w:name w:val="List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2">
    <w:name w:val="List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3">
    <w:name w:val="List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4">
    <w:name w:val="List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5">
    <w:name w:val="List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6">
    <w:name w:val="List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8">
    <w:name w:val="List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9">
    <w:name w:val="List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List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1">
    <w:name w:val="List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List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3">
    <w:name w:val="List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4">
    <w:name w:val="List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5">
    <w:name w:val="List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6">
    <w:name w:val="List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7">
    <w:name w:val="List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8">
    <w:name w:val="List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9">
    <w:name w:val="List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0">
    <w:name w:val="List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1">
    <w:name w:val="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 &amp; 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Bordered &amp; 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0">
    <w:name w:val="Bordered &amp; 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1">
    <w:name w:val="Bordered &amp; 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2">
    <w:name w:val="Bordered &amp; 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3">
    <w:name w:val="Bordered &amp; 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4">
    <w:name w:val="Bordered &amp; 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5">
    <w:name w:val="Bordered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6">
    <w:name w:val="Bordered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7">
    <w:name w:val="Bordered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8">
    <w:name w:val="Bordered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9">
    <w:name w:val="Bordered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0">
    <w:name w:val="Bordered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1">
    <w:name w:val="Bordered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2">
    <w:name w:val="Hyperlink"/>
    <w:uiPriority w:val="99"/>
    <w:unhideWhenUsed/>
    <w:rPr>
      <w:color w:val="0000ff" w:themeColor="hyperlink"/>
      <w:u w:val="single"/>
    </w:rPr>
  </w:style>
  <w:style w:type="paragraph" w:styleId="823">
    <w:name w:val="footnote text"/>
    <w:basedOn w:val="840"/>
    <w:link w:val="824"/>
    <w:uiPriority w:val="99"/>
    <w:semiHidden/>
    <w:unhideWhenUsed/>
    <w:pPr>
      <w:spacing w:after="40" w:line="240" w:lineRule="auto"/>
    </w:pPr>
    <w:rPr>
      <w:sz w:val="18"/>
    </w:rPr>
  </w:style>
  <w:style w:type="character" w:styleId="824">
    <w:name w:val="Footnote Text Char"/>
    <w:link w:val="823"/>
    <w:uiPriority w:val="99"/>
    <w:rPr>
      <w:sz w:val="18"/>
    </w:rPr>
  </w:style>
  <w:style w:type="character" w:styleId="825">
    <w:name w:val="footnote reference"/>
    <w:basedOn w:val="841"/>
    <w:uiPriority w:val="99"/>
    <w:unhideWhenUsed/>
    <w:rPr>
      <w:vertAlign w:val="superscript"/>
    </w:rPr>
  </w:style>
  <w:style w:type="paragraph" w:styleId="826">
    <w:name w:val="endnote text"/>
    <w:basedOn w:val="840"/>
    <w:link w:val="827"/>
    <w:uiPriority w:val="99"/>
    <w:semiHidden/>
    <w:unhideWhenUsed/>
    <w:pPr>
      <w:spacing w:after="0" w:line="240" w:lineRule="auto"/>
    </w:pPr>
    <w:rPr>
      <w:sz w:val="20"/>
    </w:rPr>
  </w:style>
  <w:style w:type="character" w:styleId="827">
    <w:name w:val="Endnote Text Char"/>
    <w:link w:val="826"/>
    <w:uiPriority w:val="99"/>
    <w:rPr>
      <w:sz w:val="20"/>
    </w:rPr>
  </w:style>
  <w:style w:type="character" w:styleId="828">
    <w:name w:val="endnote reference"/>
    <w:basedOn w:val="841"/>
    <w:uiPriority w:val="99"/>
    <w:semiHidden/>
    <w:unhideWhenUsed/>
    <w:rPr>
      <w:vertAlign w:val="superscript"/>
    </w:rPr>
  </w:style>
  <w:style w:type="paragraph" w:styleId="829">
    <w:name w:val="toc 1"/>
    <w:basedOn w:val="840"/>
    <w:next w:val="840"/>
    <w:uiPriority w:val="39"/>
    <w:unhideWhenUsed/>
    <w:pPr>
      <w:ind w:left="0" w:right="0" w:firstLine="0"/>
      <w:spacing w:after="57"/>
    </w:pPr>
  </w:style>
  <w:style w:type="paragraph" w:styleId="830">
    <w:name w:val="toc 2"/>
    <w:basedOn w:val="840"/>
    <w:next w:val="840"/>
    <w:uiPriority w:val="39"/>
    <w:unhideWhenUsed/>
    <w:pPr>
      <w:ind w:left="283" w:right="0" w:firstLine="0"/>
      <w:spacing w:after="57"/>
    </w:pPr>
  </w:style>
  <w:style w:type="paragraph" w:styleId="831">
    <w:name w:val="toc 3"/>
    <w:basedOn w:val="840"/>
    <w:next w:val="840"/>
    <w:uiPriority w:val="39"/>
    <w:unhideWhenUsed/>
    <w:pPr>
      <w:ind w:left="567" w:right="0" w:firstLine="0"/>
      <w:spacing w:after="57"/>
    </w:pPr>
  </w:style>
  <w:style w:type="paragraph" w:styleId="832">
    <w:name w:val="toc 4"/>
    <w:basedOn w:val="840"/>
    <w:next w:val="840"/>
    <w:uiPriority w:val="39"/>
    <w:unhideWhenUsed/>
    <w:pPr>
      <w:ind w:left="850" w:right="0" w:firstLine="0"/>
      <w:spacing w:after="57"/>
    </w:pPr>
  </w:style>
  <w:style w:type="paragraph" w:styleId="833">
    <w:name w:val="toc 5"/>
    <w:basedOn w:val="840"/>
    <w:next w:val="840"/>
    <w:uiPriority w:val="39"/>
    <w:unhideWhenUsed/>
    <w:pPr>
      <w:ind w:left="1134" w:right="0" w:firstLine="0"/>
      <w:spacing w:after="57"/>
    </w:pPr>
  </w:style>
  <w:style w:type="paragraph" w:styleId="834">
    <w:name w:val="toc 6"/>
    <w:basedOn w:val="840"/>
    <w:next w:val="840"/>
    <w:uiPriority w:val="39"/>
    <w:unhideWhenUsed/>
    <w:pPr>
      <w:ind w:left="1417" w:right="0" w:firstLine="0"/>
      <w:spacing w:after="57"/>
    </w:pPr>
  </w:style>
  <w:style w:type="paragraph" w:styleId="835">
    <w:name w:val="toc 7"/>
    <w:basedOn w:val="840"/>
    <w:next w:val="840"/>
    <w:uiPriority w:val="39"/>
    <w:unhideWhenUsed/>
    <w:pPr>
      <w:ind w:left="1701" w:right="0" w:firstLine="0"/>
      <w:spacing w:after="57"/>
    </w:pPr>
  </w:style>
  <w:style w:type="paragraph" w:styleId="836">
    <w:name w:val="toc 8"/>
    <w:basedOn w:val="840"/>
    <w:next w:val="840"/>
    <w:uiPriority w:val="39"/>
    <w:unhideWhenUsed/>
    <w:pPr>
      <w:ind w:left="1984" w:right="0" w:firstLine="0"/>
      <w:spacing w:after="57"/>
    </w:pPr>
  </w:style>
  <w:style w:type="paragraph" w:styleId="837">
    <w:name w:val="toc 9"/>
    <w:basedOn w:val="840"/>
    <w:next w:val="840"/>
    <w:uiPriority w:val="39"/>
    <w:unhideWhenUsed/>
    <w:pPr>
      <w:ind w:left="2268" w:right="0" w:firstLine="0"/>
      <w:spacing w:after="57"/>
    </w:pPr>
  </w:style>
  <w:style w:type="paragraph" w:styleId="838">
    <w:name w:val="TOC Heading"/>
    <w:uiPriority w:val="39"/>
    <w:unhideWhenUsed/>
  </w:style>
  <w:style w:type="paragraph" w:styleId="839">
    <w:name w:val="table of figures"/>
    <w:basedOn w:val="840"/>
    <w:next w:val="840"/>
    <w:uiPriority w:val="99"/>
    <w:unhideWhenUsed/>
    <w:pPr>
      <w:spacing w:after="0" w:afterAutospacing="0"/>
    </w:pPr>
  </w:style>
  <w:style w:type="paragraph" w:styleId="840" w:default="1">
    <w:name w:val="Normal"/>
    <w:qFormat/>
  </w:style>
  <w:style w:type="character" w:styleId="841" w:default="1">
    <w:name w:val="Default Paragraph Font"/>
    <w:uiPriority w:val="1"/>
    <w:semiHidden/>
    <w:unhideWhenUsed/>
  </w:style>
  <w:style w:type="table" w:styleId="8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3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revision>20</cp:revision>
  <dcterms:created xsi:type="dcterms:W3CDTF">2024-06-20T09:57:00Z</dcterms:created>
  <dcterms:modified xsi:type="dcterms:W3CDTF">2026-06-30T07:23:23Z</dcterms:modified>
</cp:coreProperties>
</file>