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58.75pt;height:90.75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04.08</w:t>
      </w:r>
      <w:r>
        <w:rPr>
          <w:rFonts w:ascii="Times New Roman" w:hAnsi="Times New Roman" w:cs="Times New Roman"/>
          <w:b/>
          <w:sz w:val="28"/>
          <w:szCs w:val="28"/>
        </w:rPr>
        <w:t xml:space="preserve">.2026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0" w:right="0" w:firstLine="0"/>
        <w:jc w:val="center"/>
        <w:spacing w:before="0" w:after="0" w:line="276" w:lineRule="auto"/>
        <w:rPr>
          <w:rFonts w:ascii="Tinos" w:hAnsi="Tinos" w:eastAsia="Tinos" w:cs="Tinos"/>
          <w:b/>
          <w:bCs/>
          <w:color w:val="3d4146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color w:val="3d4146"/>
          <w:sz w:val="28"/>
          <w:szCs w:val="28"/>
        </w:rPr>
        <w:t xml:space="preserve">Самарский Росреестр напоминает: «Построил – оформи!»</w:t>
      </w:r>
      <w:r>
        <w:rPr>
          <w:rFonts w:ascii="Tinos" w:hAnsi="Tinos" w:eastAsia="Tinos" w:cs="Tinos"/>
          <w:b/>
          <w:bCs/>
          <w:color w:val="3d4146"/>
          <w:sz w:val="28"/>
          <w:szCs w:val="28"/>
        </w:rPr>
      </w:r>
      <w:r>
        <w:rPr>
          <w:rFonts w:ascii="Tinos" w:hAnsi="Tinos" w:eastAsia="Tinos" w:cs="Tinos"/>
          <w:b/>
          <w:bCs/>
          <w:color w:val="3d4146"/>
          <w:sz w:val="28"/>
          <w:szCs w:val="28"/>
        </w:rPr>
      </w:r>
    </w:p>
    <w:p>
      <w:pPr>
        <w:ind w:left="0" w:right="0" w:firstLine="0"/>
        <w:jc w:val="both"/>
        <w:spacing w:before="0" w:after="0" w:line="360" w:lineRule="auto"/>
        <w:rPr>
          <w:rFonts w:ascii="Tinos" w:hAnsi="Tinos" w:eastAsia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color w:val="3d4146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  <w:br/>
        <w:t xml:space="preserve">       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Упр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авление Росреестра по Самарской области напоминает гражданам и юридическим лицам: с 1 марта 2025 года в России действует принцип «Построил — оформи». Он закреплен Федеральным законом № 487-ФЗ. Его суть в том, что эксплуатировать построенное здание или с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ооружение можно только после того, как объект поставлен на государственный кадастровый учет и 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право на него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 зарегистрировано в Едином государственном реестре недвижимости (ЕГРН). 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ind w:left="0" w:right="0" w:firstLine="0"/>
        <w:jc w:val="both"/>
        <w:spacing w:before="300" w:after="0" w:line="360" w:lineRule="auto"/>
        <w:rPr>
          <w:rFonts w:ascii="Tinos" w:hAnsi="Tinos" w:eastAsia="Tinos" w:cs="Tinos"/>
          <w:color w:val="292c2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292c2f"/>
          <w:sz w:val="28"/>
          <w:szCs w:val="28"/>
        </w:rPr>
        <w:t xml:space="preserve">        Закон выделяет два обязательных этапа, после которых объект считается пригодным к использованию:</w:t>
      </w:r>
      <w:r>
        <w:rPr>
          <w:rFonts w:ascii="Tinos" w:hAnsi="Tinos" w:eastAsia="Tinos" w:cs="Tinos"/>
          <w:color w:val="292c2f"/>
          <w:sz w:val="28"/>
          <w:szCs w:val="28"/>
        </w:rPr>
      </w:r>
      <w:r>
        <w:rPr>
          <w:rFonts w:ascii="Tinos" w:hAnsi="Tinos" w:eastAsia="Tinos" w:cs="Tinos"/>
          <w:color w:val="292c2f"/>
          <w:sz w:val="28"/>
          <w:szCs w:val="28"/>
        </w:rPr>
      </w:r>
    </w:p>
    <w:p>
      <w:pPr>
        <w:pStyle w:val="708"/>
        <w:numPr>
          <w:ilvl w:val="0"/>
          <w:numId w:val="17"/>
        </w:numPr>
        <w:ind w:right="0"/>
        <w:jc w:val="both"/>
        <w:spacing w:before="300" w:after="0" w:line="360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292c2f"/>
          <w:sz w:val="28"/>
          <w:szCs w:val="28"/>
        </w:rPr>
        <w:t xml:space="preserve">Разрешение на ввод в эксплуатацию. Это документ выдает 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уполномоченный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 орган в соответствии со статьей 55 Градостроительного кодекса Российской Федерации. Указанный документ подтверждает, что здание построено в соответствии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 с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 разрешением на строительство, соблюдены градостроительные нормы и объект безопасен для людей. Такие документы уполномоченный орган сам направляет в Росреестр для осуществления государственного кадастрового учета и государственной регистрации прав в отноше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нии созданного объекта.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708"/>
        <w:numPr>
          <w:ilvl w:val="0"/>
          <w:numId w:val="16"/>
        </w:numPr>
        <w:ind w:right="0"/>
        <w:jc w:val="both"/>
        <w:spacing w:before="300" w:after="0" w:line="360" w:lineRule="auto"/>
        <w:rPr>
          <w:rFonts w:ascii="Tinos" w:hAnsi="Tinos" w:eastAsia="Tinos" w:cs="Tinos"/>
          <w:color w:val="292c2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292c2f"/>
          <w:sz w:val="28"/>
          <w:szCs w:val="28"/>
        </w:rPr>
        <w:t xml:space="preserve">Государственный кадастровый учет и регистрация прав. После получения разрешения на ввод в эксплуатацию объект необходимо поставить на государственный кадастровый учет в Росреестре и зарегистрировать право собственности на него. Только после этого здание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 становится полноценным объектом гражданского оборота.</w:t>
      </w:r>
      <w:r>
        <w:rPr>
          <w:rFonts w:ascii="Tinos" w:hAnsi="Tinos" w:eastAsia="Tinos" w:cs="Tinos"/>
          <w:color w:val="292c2f"/>
          <w:sz w:val="28"/>
          <w:szCs w:val="28"/>
        </w:rPr>
      </w:r>
      <w:r>
        <w:rPr>
          <w:rFonts w:ascii="Tinos" w:hAnsi="Tinos" w:eastAsia="Tinos" w:cs="Tinos"/>
          <w:color w:val="292c2f"/>
          <w:sz w:val="28"/>
          <w:szCs w:val="28"/>
        </w:rPr>
      </w:r>
    </w:p>
    <w:p>
      <w:pPr>
        <w:ind w:left="0" w:right="0" w:firstLine="0"/>
        <w:jc w:val="both"/>
        <w:spacing w:before="300" w:after="0" w:line="360" w:lineRule="auto"/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292c2f"/>
          <w:sz w:val="28"/>
          <w:szCs w:val="28"/>
        </w:rPr>
        <w:t xml:space="preserve">      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Если закон допускает возможность строительства объекта без получения разрешения на строительство и ввода в эксплуатацию – застройщик сам готовит документы для постановки на кадастровый учет и регистрацию права собственности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. 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</w:r>
    </w:p>
    <w:p>
      <w:pPr>
        <w:ind w:left="0" w:right="0" w:firstLine="567"/>
        <w:jc w:val="both"/>
        <w:spacing w:before="300" w:after="0" w:line="360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Для 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индивидуальных жилых и садовых домов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 законодательство сохранило упрощенные механизмы. Здесь действует 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уведомительный порядок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: застройщик заранее уведомляет администрацию о начале строительства, а по окончании — о завершении и соответствии. Этого достаточно, чтобы счи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тать строительство завершенным.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line="360" w:lineRule="auto"/>
        <w:rPr>
          <w:rFonts w:ascii="Tinos" w:hAnsi="Tinos" w:eastAsia="Tinos" w:cs="Tinos"/>
          <w:bCs/>
          <w:i/>
          <w:color w:val="292c2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Также для таких объектов можно воспользоваться 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упрощенным порядком регистрации в рамках «дачной амнистии»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, которая действует д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о 1 марта 2031 года. 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Для регистрации жилого или садового дома, построенного на участке для садоводства, ИЖС или личного подсобного хозяйства в границах населенного пункта, потребуется только: 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технический план дома и 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правоустанавливающий документ на земельный участок.</w:t>
      </w:r>
      <w:r>
        <w:rPr>
          <w:rFonts w:ascii="Tinos" w:hAnsi="Tinos" w:eastAsia="Tinos" w:cs="Tinos"/>
          <w:bCs/>
          <w:i/>
          <w:color w:val="292c2f"/>
          <w:sz w:val="28"/>
          <w:szCs w:val="28"/>
        </w:rPr>
      </w:r>
      <w:r>
        <w:rPr>
          <w:rFonts w:ascii="Tinos" w:hAnsi="Tinos" w:eastAsia="Tinos" w:cs="Tinos"/>
          <w:bCs/>
          <w:i/>
          <w:color w:val="292c2f"/>
          <w:sz w:val="28"/>
          <w:szCs w:val="28"/>
        </w:rPr>
      </w:r>
    </w:p>
    <w:p>
      <w:pPr>
        <w:ind w:left="0" w:right="0" w:firstLine="567"/>
        <w:jc w:val="both"/>
        <w:spacing w:line="360" w:lineRule="auto"/>
        <w:rPr>
          <w:rFonts w:ascii="Tinos" w:hAnsi="Tinos" w:cs="Tinos"/>
          <w:bCs w:val="0"/>
          <w:i w:val="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i w:val="0"/>
          <w:iCs w:val="0"/>
          <w:color w:val="292c2f"/>
          <w:sz w:val="28"/>
          <w:szCs w:val="28"/>
        </w:rPr>
        <w:t xml:space="preserve">Цель принципа 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white"/>
        </w:rPr>
        <w:t xml:space="preserve">«Построил — оформи»</w:t>
      </w:r>
      <w:r>
        <w:rPr>
          <w:rFonts w:ascii="Tinos" w:hAnsi="Tinos" w:eastAsia="Tinos" w:cs="Tinos"/>
          <w:i w:val="0"/>
          <w:iCs w:val="0"/>
          <w:color w:val="292c2f"/>
          <w:sz w:val="28"/>
          <w:szCs w:val="28"/>
        </w:rPr>
        <w:t xml:space="preserve"> — защита прав собственников, обеспечение порядка в сфере недвижимости, наполнение ЕГРН полными и точными сведениями, а также предотвращение нецелевого использования земельных участков и незаконных схем при возведении объектов капитального строит</w:t>
      </w:r>
      <w:r>
        <w:rPr>
          <w:rFonts w:ascii="Tinos" w:hAnsi="Tinos" w:eastAsia="Tinos" w:cs="Tinos"/>
          <w:i w:val="0"/>
          <w:iCs w:val="0"/>
          <w:color w:val="292c2f"/>
          <w:sz w:val="28"/>
          <w:szCs w:val="28"/>
        </w:rPr>
        <w:t xml:space="preserve">ельства. </w:t>
      </w:r>
      <w:r>
        <w:rPr>
          <w:rFonts w:ascii="Tinos" w:hAnsi="Tinos" w:cs="Tinos"/>
          <w:bCs w:val="0"/>
          <w:i w:val="0"/>
          <w:sz w:val="28"/>
          <w:szCs w:val="28"/>
        </w:rPr>
      </w:r>
      <w:r>
        <w:rPr>
          <w:rFonts w:ascii="Tinos" w:hAnsi="Tinos" w:cs="Tinos"/>
          <w:bCs w:val="0"/>
          <w:i w:val="0"/>
          <w:sz w:val="28"/>
          <w:szCs w:val="28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Calibri" w:cs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1583646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15050" cy="634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1.50pt;height:0.50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Calibri" w:cs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 w:cs="Times New Roman"/>
          <w:sz w:val="22"/>
          <w:szCs w:val="22"/>
        </w:rPr>
        <w:t xml:space="preserve">Материал подготовлен пресс-службой </w:t>
      </w:r>
      <w:r>
        <w:rPr>
          <w:rFonts w:ascii="Times New Roman" w:hAnsi="Times New Roman" w:eastAsia="Calibri" w:cs="Times New Roman"/>
          <w:sz w:val="22"/>
          <w:szCs w:val="22"/>
        </w:rPr>
        <w:t xml:space="preserve">Управления</w:t>
      </w:r>
      <w:r>
        <w:rPr>
          <w:rFonts w:ascii="Times New Roman" w:hAnsi="Times New Roman" w:eastAsia="Calibri" w:cs="Times New Roman"/>
          <w:sz w:val="22"/>
          <w:szCs w:val="22"/>
        </w:rPr>
        <w:t xml:space="preserve"> Росреестра </w:t>
      </w:r>
      <w:r>
        <w:rPr>
          <w:rFonts w:ascii="Times New Roman" w:hAnsi="Times New Roman" w:eastAsia="Calibri" w:cs="Times New Roman"/>
          <w:sz w:val="22"/>
          <w:szCs w:val="22"/>
        </w:rPr>
        <w:t xml:space="preserve">по Самарской области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nos">
    <w:panose1 w:val="02020603050405020304"/>
  </w:font>
  <w:font w:name="Times New Roman">
    <w:panose1 w:val="020206030504050203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1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2c2d2e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09" w:hanging="360"/>
      </w:pPr>
      <w:rPr>
        <w:rFonts w:hint="default" w:ascii="Courier New" w:hAnsi="Courier New" w:eastAsia="Courier New" w:cs="Courier New"/>
        <w:color w:val="000000"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  <w:color w:val="000000"/>
        <w:sz w:val="24"/>
      </w:rPr>
    </w:lvl>
    <w:lvl w:ilvl="2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  <w:color w:val="000000"/>
        <w:sz w:val="24"/>
      </w:rPr>
    </w:lvl>
    <w:lvl w:ilvl="3">
      <w:start w:val="1"/>
      <w:numFmt w:val="bullet"/>
      <w:isLgl w:val="false"/>
      <w:suff w:val="tab"/>
      <w:lvlText w:val="o"/>
      <w:lvlJc w:val="left"/>
      <w:pPr>
        <w:ind w:left="2869" w:hanging="360"/>
      </w:pPr>
      <w:rPr>
        <w:rFonts w:hint="default" w:ascii="Courier New" w:hAnsi="Courier New" w:eastAsia="Courier New" w:cs="Courier New"/>
        <w:color w:val="000000"/>
        <w:sz w:val="24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  <w:color w:val="000000"/>
        <w:sz w:val="24"/>
      </w:rPr>
    </w:lvl>
    <w:lvl w:ilvl="5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  <w:color w:val="000000"/>
        <w:sz w:val="24"/>
      </w:rPr>
    </w:lvl>
    <w:lvl w:ilvl="6">
      <w:start w:val="1"/>
      <w:numFmt w:val="bullet"/>
      <w:isLgl w:val="false"/>
      <w:suff w:val="tab"/>
      <w:lvlText w:val="o"/>
      <w:lvlJc w:val="left"/>
      <w:pPr>
        <w:ind w:left="5029" w:hanging="360"/>
      </w:pPr>
      <w:rPr>
        <w:rFonts w:hint="default" w:ascii="Courier New" w:hAnsi="Courier New" w:eastAsia="Courier New" w:cs="Courier New"/>
        <w:color w:val="000000"/>
        <w:sz w:val="24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  <w:color w:val="000000"/>
        <w:sz w:val="24"/>
      </w:rPr>
    </w:lvl>
    <w:lvl w:ilvl="8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  <w:color w:val="000000"/>
        <w:sz w:val="24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0">
    <w:name w:val="Heading 1"/>
    <w:basedOn w:val="868"/>
    <w:next w:val="868"/>
    <w:link w:val="69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1">
    <w:name w:val="Heading 1 Char"/>
    <w:basedOn w:val="869"/>
    <w:link w:val="690"/>
    <w:uiPriority w:val="9"/>
    <w:rPr>
      <w:rFonts w:ascii="Arial" w:hAnsi="Arial" w:eastAsia="Arial" w:cs="Arial"/>
      <w:sz w:val="40"/>
      <w:szCs w:val="40"/>
    </w:rPr>
  </w:style>
  <w:style w:type="paragraph" w:styleId="692">
    <w:name w:val="Heading 2"/>
    <w:basedOn w:val="868"/>
    <w:next w:val="868"/>
    <w:link w:val="69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3">
    <w:name w:val="Heading 2 Char"/>
    <w:basedOn w:val="869"/>
    <w:link w:val="692"/>
    <w:uiPriority w:val="9"/>
    <w:rPr>
      <w:rFonts w:ascii="Arial" w:hAnsi="Arial" w:eastAsia="Arial" w:cs="Arial"/>
      <w:sz w:val="34"/>
    </w:rPr>
  </w:style>
  <w:style w:type="paragraph" w:styleId="694">
    <w:name w:val="Heading 3"/>
    <w:basedOn w:val="868"/>
    <w:next w:val="868"/>
    <w:link w:val="69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5">
    <w:name w:val="Heading 3 Char"/>
    <w:basedOn w:val="869"/>
    <w:link w:val="694"/>
    <w:uiPriority w:val="9"/>
    <w:rPr>
      <w:rFonts w:ascii="Arial" w:hAnsi="Arial" w:eastAsia="Arial" w:cs="Arial"/>
      <w:sz w:val="30"/>
      <w:szCs w:val="30"/>
    </w:rPr>
  </w:style>
  <w:style w:type="paragraph" w:styleId="696">
    <w:name w:val="Heading 4"/>
    <w:basedOn w:val="868"/>
    <w:next w:val="868"/>
    <w:link w:val="69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7">
    <w:name w:val="Heading 4 Char"/>
    <w:basedOn w:val="869"/>
    <w:link w:val="696"/>
    <w:uiPriority w:val="9"/>
    <w:rPr>
      <w:rFonts w:ascii="Arial" w:hAnsi="Arial" w:eastAsia="Arial" w:cs="Arial"/>
      <w:b/>
      <w:bCs/>
      <w:sz w:val="26"/>
      <w:szCs w:val="26"/>
    </w:rPr>
  </w:style>
  <w:style w:type="paragraph" w:styleId="698">
    <w:name w:val="Heading 5"/>
    <w:basedOn w:val="868"/>
    <w:next w:val="868"/>
    <w:link w:val="69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9">
    <w:name w:val="Heading 5 Char"/>
    <w:basedOn w:val="869"/>
    <w:link w:val="698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68"/>
    <w:next w:val="868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basedOn w:val="869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68"/>
    <w:next w:val="868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basedOn w:val="869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68"/>
    <w:next w:val="868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basedOn w:val="869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68"/>
    <w:next w:val="868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basedOn w:val="869"/>
    <w:link w:val="706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List Paragraph"/>
    <w:basedOn w:val="868"/>
    <w:uiPriority w:val="34"/>
    <w:qFormat/>
    <w:pPr>
      <w:contextualSpacing/>
      <w:ind w:left="720"/>
    </w:pPr>
  </w:style>
  <w:style w:type="paragraph" w:styleId="709">
    <w:name w:val="No Spacing"/>
    <w:uiPriority w:val="1"/>
    <w:qFormat/>
    <w:pPr>
      <w:spacing w:before="0" w:after="0" w:line="240" w:lineRule="auto"/>
    </w:pPr>
  </w:style>
  <w:style w:type="paragraph" w:styleId="710">
    <w:name w:val="Title"/>
    <w:basedOn w:val="868"/>
    <w:next w:val="868"/>
    <w:link w:val="71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1">
    <w:name w:val="Title Char"/>
    <w:basedOn w:val="869"/>
    <w:link w:val="710"/>
    <w:uiPriority w:val="10"/>
    <w:rPr>
      <w:sz w:val="48"/>
      <w:szCs w:val="48"/>
    </w:rPr>
  </w:style>
  <w:style w:type="paragraph" w:styleId="712">
    <w:name w:val="Subtitle"/>
    <w:basedOn w:val="868"/>
    <w:next w:val="868"/>
    <w:link w:val="713"/>
    <w:uiPriority w:val="11"/>
    <w:qFormat/>
    <w:pPr>
      <w:spacing w:before="200" w:after="200"/>
    </w:pPr>
    <w:rPr>
      <w:sz w:val="24"/>
      <w:szCs w:val="24"/>
    </w:rPr>
  </w:style>
  <w:style w:type="character" w:styleId="713">
    <w:name w:val="Subtitle Char"/>
    <w:basedOn w:val="869"/>
    <w:link w:val="712"/>
    <w:uiPriority w:val="11"/>
    <w:rPr>
      <w:sz w:val="24"/>
      <w:szCs w:val="24"/>
    </w:rPr>
  </w:style>
  <w:style w:type="paragraph" w:styleId="714">
    <w:name w:val="Quote"/>
    <w:basedOn w:val="868"/>
    <w:next w:val="868"/>
    <w:link w:val="715"/>
    <w:uiPriority w:val="29"/>
    <w:qFormat/>
    <w:pPr>
      <w:ind w:left="720" w:right="720"/>
    </w:pPr>
    <w:rPr>
      <w:i/>
    </w:rPr>
  </w:style>
  <w:style w:type="character" w:styleId="715">
    <w:name w:val="Quote Char"/>
    <w:link w:val="714"/>
    <w:uiPriority w:val="29"/>
    <w:rPr>
      <w:i/>
    </w:rPr>
  </w:style>
  <w:style w:type="paragraph" w:styleId="716">
    <w:name w:val="Intense Quote"/>
    <w:basedOn w:val="868"/>
    <w:next w:val="868"/>
    <w:link w:val="71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7">
    <w:name w:val="Intense Quote Char"/>
    <w:link w:val="716"/>
    <w:uiPriority w:val="30"/>
    <w:rPr>
      <w:i/>
    </w:rPr>
  </w:style>
  <w:style w:type="paragraph" w:styleId="718">
    <w:name w:val="Header"/>
    <w:basedOn w:val="868"/>
    <w:link w:val="71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9">
    <w:name w:val="Header Char"/>
    <w:basedOn w:val="869"/>
    <w:link w:val="718"/>
    <w:uiPriority w:val="99"/>
  </w:style>
  <w:style w:type="paragraph" w:styleId="720">
    <w:name w:val="Footer"/>
    <w:basedOn w:val="868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1">
    <w:name w:val="Footer Char"/>
    <w:basedOn w:val="869"/>
    <w:link w:val="720"/>
    <w:uiPriority w:val="99"/>
  </w:style>
  <w:style w:type="paragraph" w:styleId="722">
    <w:name w:val="Caption"/>
    <w:basedOn w:val="868"/>
    <w:next w:val="868"/>
    <w:link w:val="7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3">
    <w:name w:val="Caption Char"/>
    <w:basedOn w:val="722"/>
    <w:link w:val="720"/>
    <w:uiPriority w:val="35"/>
  </w:style>
  <w:style w:type="table" w:styleId="724">
    <w:name w:val="Table Grid"/>
    <w:basedOn w:val="87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>
    <w:name w:val="Table Grid Light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Plain Table 1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2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9">
    <w:name w:val="Plain Table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Plain Table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1">
    <w:name w:val="Grid Table 1 Light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4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3">
    <w:name w:val="Grid Table 4 - Accent 1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4">
    <w:name w:val="Grid Table 4 - Accent 2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5">
    <w:name w:val="Grid Table 4 - Accent 3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6">
    <w:name w:val="Grid Table 4 - Accent 4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7">
    <w:name w:val="Grid Table 4 - Accent 5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8">
    <w:name w:val="Grid Table 4 - Accent 6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9">
    <w:name w:val="Grid Table 5 Dark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6">
    <w:name w:val="Grid Table 6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7">
    <w:name w:val="Grid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8">
    <w:name w:val="Grid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9">
    <w:name w:val="Grid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0">
    <w:name w:val="Grid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1">
    <w:name w:val="Grid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2">
    <w:name w:val="Grid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3">
    <w:name w:val="Grid Table 7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8">
    <w:name w:val="List Table 2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9">
    <w:name w:val="List Table 2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0">
    <w:name w:val="List Table 2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1">
    <w:name w:val="List Table 2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2">
    <w:name w:val="List Table 2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3">
    <w:name w:val="List Table 2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4">
    <w:name w:val="List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5 Dark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6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6">
    <w:name w:val="List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7">
    <w:name w:val="List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8">
    <w:name w:val="List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9">
    <w:name w:val="List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0">
    <w:name w:val="List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1">
    <w:name w:val="List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2">
    <w:name w:val="List Table 7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3">
    <w:name w:val="List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4">
    <w:name w:val="List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5">
    <w:name w:val="List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6">
    <w:name w:val="List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7">
    <w:name w:val="List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8">
    <w:name w:val="List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9">
    <w:name w:val="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1">
    <w:name w:val="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2">
    <w:name w:val="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3">
    <w:name w:val="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4">
    <w:name w:val="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5">
    <w:name w:val="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6">
    <w:name w:val="Bordered &amp; 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Bordered &amp; 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8">
    <w:name w:val="Bordered &amp; 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9">
    <w:name w:val="Bordered &amp; 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0">
    <w:name w:val="Bordered &amp; 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1">
    <w:name w:val="Bordered &amp; 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2">
    <w:name w:val="Bordered &amp; 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3">
    <w:name w:val="Bordered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4">
    <w:name w:val="Bordered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5">
    <w:name w:val="Bordered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6">
    <w:name w:val="Bordered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7">
    <w:name w:val="Bordered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8">
    <w:name w:val="Bordered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9">
    <w:name w:val="Bordered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0">
    <w:name w:val="Hyperlink"/>
    <w:uiPriority w:val="99"/>
    <w:unhideWhenUsed/>
    <w:rPr>
      <w:color w:val="0000ff" w:themeColor="hyperlink"/>
      <w:u w:val="single"/>
    </w:rPr>
  </w:style>
  <w:style w:type="paragraph" w:styleId="851">
    <w:name w:val="footnote text"/>
    <w:basedOn w:val="868"/>
    <w:link w:val="852"/>
    <w:uiPriority w:val="99"/>
    <w:semiHidden/>
    <w:unhideWhenUsed/>
    <w:pPr>
      <w:spacing w:after="40" w:line="240" w:lineRule="auto"/>
    </w:pPr>
    <w:rPr>
      <w:sz w:val="18"/>
    </w:rPr>
  </w:style>
  <w:style w:type="character" w:styleId="852">
    <w:name w:val="Footnote Text Char"/>
    <w:link w:val="851"/>
    <w:uiPriority w:val="99"/>
    <w:rPr>
      <w:sz w:val="18"/>
    </w:rPr>
  </w:style>
  <w:style w:type="character" w:styleId="853">
    <w:name w:val="footnote reference"/>
    <w:basedOn w:val="869"/>
    <w:uiPriority w:val="99"/>
    <w:unhideWhenUsed/>
    <w:rPr>
      <w:vertAlign w:val="superscript"/>
    </w:rPr>
  </w:style>
  <w:style w:type="paragraph" w:styleId="854">
    <w:name w:val="endnote text"/>
    <w:basedOn w:val="868"/>
    <w:link w:val="855"/>
    <w:uiPriority w:val="99"/>
    <w:semiHidden/>
    <w:unhideWhenUsed/>
    <w:pPr>
      <w:spacing w:after="0" w:line="240" w:lineRule="auto"/>
    </w:pPr>
    <w:rPr>
      <w:sz w:val="20"/>
    </w:rPr>
  </w:style>
  <w:style w:type="character" w:styleId="855">
    <w:name w:val="Endnote Text Char"/>
    <w:link w:val="854"/>
    <w:uiPriority w:val="99"/>
    <w:rPr>
      <w:sz w:val="20"/>
    </w:rPr>
  </w:style>
  <w:style w:type="character" w:styleId="856">
    <w:name w:val="endnote reference"/>
    <w:basedOn w:val="869"/>
    <w:uiPriority w:val="99"/>
    <w:semiHidden/>
    <w:unhideWhenUsed/>
    <w:rPr>
      <w:vertAlign w:val="superscript"/>
    </w:rPr>
  </w:style>
  <w:style w:type="paragraph" w:styleId="857">
    <w:name w:val="toc 1"/>
    <w:basedOn w:val="868"/>
    <w:next w:val="868"/>
    <w:uiPriority w:val="39"/>
    <w:unhideWhenUsed/>
    <w:pPr>
      <w:ind w:left="0" w:right="0" w:firstLine="0"/>
      <w:spacing w:after="57"/>
    </w:pPr>
  </w:style>
  <w:style w:type="paragraph" w:styleId="858">
    <w:name w:val="toc 2"/>
    <w:basedOn w:val="868"/>
    <w:next w:val="868"/>
    <w:uiPriority w:val="39"/>
    <w:unhideWhenUsed/>
    <w:pPr>
      <w:ind w:left="283" w:right="0" w:firstLine="0"/>
      <w:spacing w:after="57"/>
    </w:pPr>
  </w:style>
  <w:style w:type="paragraph" w:styleId="859">
    <w:name w:val="toc 3"/>
    <w:basedOn w:val="868"/>
    <w:next w:val="868"/>
    <w:uiPriority w:val="39"/>
    <w:unhideWhenUsed/>
    <w:pPr>
      <w:ind w:left="567" w:right="0" w:firstLine="0"/>
      <w:spacing w:after="57"/>
    </w:pPr>
  </w:style>
  <w:style w:type="paragraph" w:styleId="860">
    <w:name w:val="toc 4"/>
    <w:basedOn w:val="868"/>
    <w:next w:val="868"/>
    <w:uiPriority w:val="39"/>
    <w:unhideWhenUsed/>
    <w:pPr>
      <w:ind w:left="850" w:right="0" w:firstLine="0"/>
      <w:spacing w:after="57"/>
    </w:pPr>
  </w:style>
  <w:style w:type="paragraph" w:styleId="861">
    <w:name w:val="toc 5"/>
    <w:basedOn w:val="868"/>
    <w:next w:val="868"/>
    <w:uiPriority w:val="39"/>
    <w:unhideWhenUsed/>
    <w:pPr>
      <w:ind w:left="1134" w:right="0" w:firstLine="0"/>
      <w:spacing w:after="57"/>
    </w:pPr>
  </w:style>
  <w:style w:type="paragraph" w:styleId="862">
    <w:name w:val="toc 6"/>
    <w:basedOn w:val="868"/>
    <w:next w:val="868"/>
    <w:uiPriority w:val="39"/>
    <w:unhideWhenUsed/>
    <w:pPr>
      <w:ind w:left="1417" w:right="0" w:firstLine="0"/>
      <w:spacing w:after="57"/>
    </w:pPr>
  </w:style>
  <w:style w:type="paragraph" w:styleId="863">
    <w:name w:val="toc 7"/>
    <w:basedOn w:val="868"/>
    <w:next w:val="868"/>
    <w:uiPriority w:val="39"/>
    <w:unhideWhenUsed/>
    <w:pPr>
      <w:ind w:left="1701" w:right="0" w:firstLine="0"/>
      <w:spacing w:after="57"/>
    </w:pPr>
  </w:style>
  <w:style w:type="paragraph" w:styleId="864">
    <w:name w:val="toc 8"/>
    <w:basedOn w:val="868"/>
    <w:next w:val="868"/>
    <w:uiPriority w:val="39"/>
    <w:unhideWhenUsed/>
    <w:pPr>
      <w:ind w:left="1984" w:right="0" w:firstLine="0"/>
      <w:spacing w:after="57"/>
    </w:pPr>
  </w:style>
  <w:style w:type="paragraph" w:styleId="865">
    <w:name w:val="toc 9"/>
    <w:basedOn w:val="868"/>
    <w:next w:val="868"/>
    <w:uiPriority w:val="39"/>
    <w:unhideWhenUsed/>
    <w:pPr>
      <w:ind w:left="2268" w:right="0" w:firstLine="0"/>
      <w:spacing w:after="57"/>
    </w:pPr>
  </w:style>
  <w:style w:type="paragraph" w:styleId="866">
    <w:name w:val="TOC Heading"/>
    <w:uiPriority w:val="39"/>
    <w:unhideWhenUsed/>
  </w:style>
  <w:style w:type="paragraph" w:styleId="867">
    <w:name w:val="table of figures"/>
    <w:basedOn w:val="868"/>
    <w:next w:val="868"/>
    <w:uiPriority w:val="99"/>
    <w:unhideWhenUsed/>
    <w:pPr>
      <w:spacing w:after="0" w:afterAutospacing="0"/>
    </w:pPr>
  </w:style>
  <w:style w:type="paragraph" w:styleId="868" w:default="1">
    <w:name w:val="Normal"/>
    <w:qFormat/>
  </w:style>
  <w:style w:type="character" w:styleId="869" w:default="1">
    <w:name w:val="Default Paragraph Font"/>
    <w:uiPriority w:val="1"/>
    <w:semiHidden/>
    <w:unhideWhenUsed/>
  </w:style>
  <w:style w:type="table" w:styleId="8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shumilina_yug</cp:lastModifiedBy>
  <cp:revision>47</cp:revision>
  <dcterms:created xsi:type="dcterms:W3CDTF">2023-09-10T13:11:00Z</dcterms:created>
  <dcterms:modified xsi:type="dcterms:W3CDTF">2026-08-04T06:14:39Z</dcterms:modified>
</cp:coreProperties>
</file>