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17.00</w:t>
      </w:r>
      <w:r>
        <w:rPr>
          <w:rFonts w:ascii="Times New Roman" w:hAnsi="Times New Roman" w:cs="Times New Roman"/>
          <w:b/>
          <w:sz w:val="26"/>
          <w:szCs w:val="26"/>
        </w:rPr>
        <w:t xml:space="preserve">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5"/>
        <w:ind w:firstLine="708"/>
        <w:jc w:val="center"/>
        <w:spacing w:line="360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Самарский Росреестр рассказал о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выявлении правообладателей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pStyle w:val="685"/>
        <w:ind w:firstLine="708"/>
        <w:jc w:val="center"/>
        <w:spacing w:line="360" w:lineRule="auto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after="300" w:line="360" w:lineRule="auto"/>
        <w:rPr>
          <w:rFonts w:ascii="Times New Roman" w:hAnsi="Times New Roman" w:cs="Times New Roman"/>
          <w:sz w:val="28"/>
          <w:szCs w:val="28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орядка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7 500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правообладателей ранее учтенных объектов недвижимости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было выявлено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решений органов местного самоуправления Самарской области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концу 2025 года.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Более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49 500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правообладателей самостоятельно обратились и зарегистрировали свои права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результате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разъяснительной работы с населением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val="ru-RU"/>
          <w14:ligatures w14:val="none"/>
        </w:rPr>
      </w:r>
    </w:p>
    <w:p>
      <w:pPr>
        <w:ind w:left="0" w:right="0" w:firstLine="567"/>
        <w:jc w:val="both"/>
        <w:spacing w:before="0" w:after="300" w:line="360" w:lineRule="auto"/>
        <w:rPr>
          <w:rFonts w:ascii="Times New Roman" w:hAnsi="Times New Roman" w:cs="Times New Roman"/>
          <w:sz w:val="28"/>
          <w:szCs w:val="28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 2021 года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плотном взаимодействии с Правительством региона и органами местного самоуправл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ения самарский Росреестр проводит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мероприятия, предусмотренные 518-м Федеральным законом,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наполнению реестра сведениями об отсутствующих правообладателях ранее учтенных объектов недвижимости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val="ru-RU"/>
          <w14:ligatures w14:val="none"/>
        </w:rPr>
      </w:r>
    </w:p>
    <w:p>
      <w:pPr>
        <w:ind w:left="0" w:right="0" w:firstLine="567"/>
        <w:jc w:val="both"/>
        <w:spacing w:before="0" w:after="300" w:line="360" w:lineRule="auto"/>
        <w:rPr>
          <w:rFonts w:ascii="Tinos" w:hAnsi="Tinos" w:eastAsia="Tinos" w:cs="Tinos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val="ru-RU"/>
          <w14:ligatures w14:val="none"/>
        </w:rPr>
      </w:r>
      <w:r>
        <w:rPr>
          <w:rFonts w:ascii="Tinos" w:hAnsi="Tinos" w:eastAsia="Tinos" w:cs="Tinos"/>
          <w:color w:val="000000"/>
          <w:sz w:val="28"/>
          <w:szCs w:val="28"/>
        </w:rPr>
        <w:t xml:space="preserve">Для граждан это имеет ряд преимуществ:</w:t>
      </w:r>
      <w:r>
        <w:rPr>
          <w:rFonts w:ascii="Times New Roman" w:hAnsi="Times New Roman" w:cs="Times New Roman"/>
          <w:sz w:val="28"/>
          <w:szCs w:val="28"/>
          <w:lang w:val="ru-RU"/>
          <w14:ligatures w14:val="none"/>
        </w:rPr>
      </w:r>
      <w:r>
        <w:rPr>
          <w:rFonts w:ascii="Tinos" w:hAnsi="Tinos" w:eastAsia="Tinos" w:cs="Tinos"/>
          <w:color w:val="000000"/>
          <w:sz w:val="28"/>
          <w:szCs w:val="28"/>
          <w14:ligatures w14:val="none"/>
        </w:rPr>
      </w:r>
    </w:p>
    <w:p>
      <w:pPr>
        <w:pStyle w:val="684"/>
        <w:numPr>
          <w:ilvl w:val="0"/>
          <w:numId w:val="6"/>
        </w:numPr>
        <w:ind w:right="0"/>
        <w:jc w:val="both"/>
        <w:spacing w:before="0" w:after="300" w:line="360" w:lineRule="auto"/>
        <w:rPr>
          <w:rFonts w:ascii="Tinos" w:hAnsi="Tinos" w:eastAsia="Tinos" w:cs="Tinos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за регистрацию ранее возникших прав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граждане освобождены от оплаты госпошлины;</w:t>
      </w:r>
      <w:r>
        <w:rPr>
          <w:rFonts w:ascii="Times New Roman" w:hAnsi="Times New Roman" w:cs="Times New Roman"/>
          <w:sz w:val="28"/>
          <w:szCs w:val="28"/>
          <w:lang w:val="ru-RU"/>
          <w14:ligatures w14:val="none"/>
        </w:rPr>
      </w:r>
      <w:r>
        <w:rPr>
          <w:rFonts w:ascii="Tinos" w:hAnsi="Tinos" w:eastAsia="Tinos" w:cs="Tinos"/>
          <w:color w:val="000000"/>
          <w:sz w:val="28"/>
          <w:szCs w:val="28"/>
          <w14:ligatures w14:val="none"/>
        </w:rPr>
      </w:r>
    </w:p>
    <w:p>
      <w:pPr>
        <w:pStyle w:val="684"/>
        <w:numPr>
          <w:ilvl w:val="0"/>
          <w:numId w:val="6"/>
        </w:numPr>
        <w:ind w:right="0"/>
        <w:jc w:val="both"/>
        <w:spacing w:before="0" w:after="300" w:line="360" w:lineRule="auto"/>
        <w:rPr>
          <w:rFonts w:ascii="Tinos" w:hAnsi="Tinos" w:eastAsia="Tinos" w:cs="Tinos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eastAsia="Tinos" w:cs="Tinos"/>
          <w:color w:val="000000"/>
          <w:sz w:val="28"/>
          <w:szCs w:val="28"/>
        </w:rPr>
        <w:t xml:space="preserve">процедура выявления правообладателей способствует уменьшению судебных споров, связанных с отказами в учете и государственной регистрации, а также о признании права собственности на ранее учтенные объекты, в том числе после наследования;</w:t>
      </w:r>
      <w:r>
        <w:rPr>
          <w:rFonts w:ascii="Times New Roman" w:hAnsi="Times New Roman" w:cs="Times New Roman"/>
          <w:sz w:val="28"/>
          <w:szCs w:val="28"/>
          <w:lang w:val="ru-RU"/>
          <w14:ligatures w14:val="none"/>
        </w:rPr>
      </w:r>
      <w:r>
        <w:rPr>
          <w:rFonts w:ascii="Tinos" w:hAnsi="Tinos" w:eastAsia="Tinos" w:cs="Tinos"/>
          <w:color w:val="000000"/>
          <w:sz w:val="28"/>
          <w:szCs w:val="28"/>
          <w14:ligatures w14:val="none"/>
        </w:rPr>
      </w:r>
    </w:p>
    <w:p>
      <w:pPr>
        <w:pStyle w:val="684"/>
        <w:numPr>
          <w:ilvl w:val="0"/>
          <w:numId w:val="6"/>
        </w:numPr>
        <w:ind w:right="0"/>
        <w:jc w:val="both"/>
        <w:spacing w:before="0" w:after="300" w:line="360" w:lineRule="auto"/>
        <w:rPr>
          <w:rFonts w:ascii="Tinos" w:hAnsi="Tinos" w:eastAsia="Tinos" w:cs="Tinos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правообладатель может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свободно 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распоряжаться недвижимостью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,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подать заявление о невозможности государственной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регистрации перехода права без его личного участия; </w:t>
      </w:r>
      <w:r>
        <w:rPr>
          <w:rFonts w:ascii="Times New Roman" w:hAnsi="Times New Roman" w:cs="Times New Roman"/>
          <w:sz w:val="28"/>
          <w:szCs w:val="28"/>
          <w:lang w:val="ru-RU"/>
          <w14:ligatures w14:val="none"/>
        </w:rPr>
      </w:r>
      <w:r>
        <w:rPr>
          <w:rFonts w:ascii="Tinos" w:hAnsi="Tinos" w:eastAsia="Tinos" w:cs="Tinos"/>
          <w:color w:val="000000"/>
          <w:sz w:val="28"/>
          <w:szCs w:val="28"/>
          <w14:ligatures w14:val="none"/>
        </w:rPr>
      </w:r>
    </w:p>
    <w:p>
      <w:pPr>
        <w:pStyle w:val="684"/>
        <w:numPr>
          <w:ilvl w:val="0"/>
          <w:numId w:val="6"/>
        </w:numPr>
        <w:ind w:right="0"/>
        <w:jc w:val="both"/>
        <w:spacing w:before="0" w:after="300" w:line="360" w:lineRule="auto"/>
        <w:rPr>
          <w:rFonts w:ascii="Tinos" w:hAnsi="Tinos" w:eastAsia="Tinos" w:cs="Tinos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наличие данных о недвижимости в ЕГРН упрощает взаимодействие с государственными органами и участниками гражданского оборота;</w:t>
      </w:r>
      <w:r>
        <w:rPr>
          <w:rFonts w:ascii="Times New Roman" w:hAnsi="Times New Roman" w:cs="Times New Roman"/>
          <w:sz w:val="28"/>
          <w:szCs w:val="28"/>
          <w:lang w:val="ru-RU"/>
          <w14:ligatures w14:val="none"/>
        </w:rPr>
      </w:r>
      <w:r>
        <w:rPr>
          <w:rFonts w:ascii="Tinos" w:hAnsi="Tinos" w:eastAsia="Tinos" w:cs="Tinos"/>
          <w:color w:val="000000"/>
          <w:sz w:val="28"/>
          <w:szCs w:val="28"/>
          <w14:ligatures w14:val="none"/>
        </w:rPr>
      </w:r>
    </w:p>
    <w:p>
      <w:pPr>
        <w:pStyle w:val="684"/>
        <w:numPr>
          <w:ilvl w:val="0"/>
          <w:numId w:val="6"/>
        </w:numPr>
        <w:ind w:right="0"/>
        <w:jc w:val="both"/>
        <w:spacing w:before="0" w:after="300" w:line="360" w:lineRule="auto"/>
        <w:rPr>
          <w:rFonts w:ascii="Times New Roman" w:hAnsi="Times New Roman" w:cs="Times New Roman"/>
          <w:sz w:val="28"/>
          <w:szCs w:val="28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правообладатели своевременно получают информацию об установлении охранных зон, иных ограничениях прав и других важных изменениях, касающихся их имущества. 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  <w14:ligatures w14:val="none"/>
        </w:rPr>
      </w:r>
    </w:p>
    <w:p>
      <w:pPr>
        <w:ind w:left="1276" w:right="0" w:firstLine="0"/>
        <w:jc w:val="both"/>
        <w:spacing w:before="0" w:after="300" w:line="360" w:lineRule="auto"/>
        <w:rPr>
          <w:rFonts w:ascii="Times New Roman" w:hAnsi="Times New Roman" w:cs="Times New Roman"/>
          <w:sz w:val="28"/>
          <w:szCs w:val="28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cs="Times New Roman"/>
          <w:sz w:val="28"/>
          <w:szCs w:val="28"/>
          <w:lang w:val="ru-RU"/>
          <w14:ligatures w14:val="none"/>
        </w:rPr>
      </w:r>
    </w:p>
    <w:p>
      <w:pPr>
        <w:spacing w:line="360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680503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096634" cy="18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 xml:space="preserve">Материал подготовлен Управлением </w:t>
      </w:r>
      <w:r>
        <w:rPr>
          <w:rFonts w:ascii="Times New Roman" w:hAnsi="Times New Roman" w:cs="Times New Roman"/>
          <w:sz w:val="22"/>
          <w:szCs w:val="22"/>
        </w:rPr>
        <w:t xml:space="preserve">Росреестра</w:t>
      </w:r>
      <w:r>
        <w:rPr>
          <w:rFonts w:ascii="Times New Roman" w:hAnsi="Times New Roman" w:cs="Times New Roman"/>
          <w:sz w:val="22"/>
          <w:szCs w:val="22"/>
        </w:rPr>
        <w:t xml:space="preserve"> по Самарской области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Courier New">
    <w:panose1 w:val="02070409020205020404"/>
  </w:font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Andale Sans UI">
    <w:panose1 w:val="02000603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4"/>
    <w:next w:val="844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5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4"/>
    <w:next w:val="844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5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4"/>
    <w:next w:val="844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5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4"/>
    <w:next w:val="844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5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5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5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5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5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5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4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4"/>
    <w:next w:val="844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basedOn w:val="845"/>
    <w:link w:val="686"/>
    <w:uiPriority w:val="10"/>
    <w:rPr>
      <w:sz w:val="48"/>
      <w:szCs w:val="48"/>
    </w:rPr>
  </w:style>
  <w:style w:type="paragraph" w:styleId="688">
    <w:name w:val="Subtitle"/>
    <w:basedOn w:val="844"/>
    <w:next w:val="844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basedOn w:val="845"/>
    <w:link w:val="688"/>
    <w:uiPriority w:val="11"/>
    <w:rPr>
      <w:sz w:val="24"/>
      <w:szCs w:val="24"/>
    </w:rPr>
  </w:style>
  <w:style w:type="paragraph" w:styleId="690">
    <w:name w:val="Quote"/>
    <w:basedOn w:val="844"/>
    <w:next w:val="844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4"/>
    <w:next w:val="844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4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basedOn w:val="845"/>
    <w:link w:val="694"/>
    <w:uiPriority w:val="99"/>
  </w:style>
  <w:style w:type="paragraph" w:styleId="696">
    <w:name w:val="Footer"/>
    <w:basedOn w:val="844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basedOn w:val="845"/>
    <w:link w:val="696"/>
    <w:uiPriority w:val="99"/>
  </w:style>
  <w:style w:type="paragraph" w:styleId="698">
    <w:name w:val="Caption"/>
    <w:basedOn w:val="844"/>
    <w:next w:val="8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696"/>
    <w:uiPriority w:val="99"/>
  </w:style>
  <w:style w:type="table" w:styleId="700">
    <w:name w:val="Table Grid"/>
    <w:basedOn w:val="8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0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1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2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3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4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5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5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5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paragraph" w:styleId="848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Andale Sans UI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de-DE" w:eastAsia="ja-JP" w:bidi="fa-IR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21</cp:revision>
  <dcterms:created xsi:type="dcterms:W3CDTF">2024-06-20T09:57:00Z</dcterms:created>
  <dcterms:modified xsi:type="dcterms:W3CDTF">2026-04-17T05:11:17Z</dcterms:modified>
</cp:coreProperties>
</file>