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20.05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276" w:lineRule="auto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  <w:t xml:space="preserve">Как оформить садовый или огородный земельный участок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jc w:val="center"/>
        <w:spacing w:line="276" w:lineRule="auto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i w:val="0"/>
          <w:iCs w:val="0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    </w:t>
      </w:r>
      <w:r>
        <w:rPr>
          <w:rFonts w:ascii="Tinos" w:hAnsi="Tinos" w:eastAsia="Tinos" w:cs="Tinos"/>
          <w:i/>
          <w:iCs/>
          <w:sz w:val="28"/>
          <w:szCs w:val="28"/>
        </w:rPr>
        <w:t xml:space="preserve">   </w:t>
      </w:r>
      <w:r>
        <w:rPr>
          <w:rFonts w:ascii="Tinos" w:hAnsi="Tinos" w:eastAsia="Tinos" w:cs="Tinos"/>
          <w:i w:val="0"/>
          <w:iCs w:val="0"/>
          <w:sz w:val="28"/>
          <w:szCs w:val="28"/>
        </w:rPr>
        <w:t xml:space="preserve">В самарский Росреестр часто поступают вопросы об оформлении садовых и огородных земельных участков, расположенных в садоводческих или огороднических некоммерческих организациях (СНТ, ОНТ), на которые у граждан отсутствуют прав</w:t>
      </w:r>
      <w:r>
        <w:rPr>
          <w:rFonts w:ascii="Tinos" w:hAnsi="Tinos" w:eastAsia="Tinos" w:cs="Tinos"/>
          <w:i w:val="0"/>
          <w:iCs w:val="0"/>
          <w:sz w:val="28"/>
          <w:szCs w:val="28"/>
        </w:rPr>
        <w:t xml:space="preserve">оустанавливающие документы. </w:t>
      </w:r>
      <w:r>
        <w:rPr>
          <w:rFonts w:ascii="Tinos" w:hAnsi="Tinos" w:eastAsia="Tinos" w:cs="Tinos"/>
          <w:i w:val="0"/>
          <w:iCs w:val="0"/>
          <w:sz w:val="28"/>
          <w:szCs w:val="28"/>
        </w:rPr>
        <w:t xml:space="preserve">Сегодня исполняющая обязанности руководителя регионального Росреестра </w:t>
      </w:r>
      <w:r>
        <w:rPr>
          <w:rFonts w:ascii="Tinos" w:hAnsi="Tinos" w:eastAsia="Tinos" w:cs="Tinos"/>
          <w:b/>
          <w:bCs/>
          <w:i w:val="0"/>
          <w:iCs w:val="0"/>
          <w:sz w:val="28"/>
          <w:szCs w:val="28"/>
        </w:rPr>
        <w:t xml:space="preserve">Татьяна Александровна </w:t>
      </w:r>
      <w:r>
        <w:rPr>
          <w:rFonts w:ascii="Tinos" w:hAnsi="Tinos" w:eastAsia="Tinos" w:cs="Tinos"/>
          <w:b/>
          <w:bCs/>
          <w:i w:val="0"/>
          <w:iCs w:val="0"/>
          <w:sz w:val="28"/>
          <w:szCs w:val="28"/>
        </w:rPr>
        <w:t xml:space="preserve">Титова</w:t>
      </w:r>
      <w:r>
        <w:rPr>
          <w:rFonts w:ascii="Tinos" w:hAnsi="Tinos" w:eastAsia="Tinos" w:cs="Tinos"/>
          <w:i w:val="0"/>
          <w:iCs w:val="0"/>
          <w:sz w:val="28"/>
          <w:szCs w:val="28"/>
        </w:rPr>
        <w:t xml:space="preserve"> рассказывает, как следует поступить.</w:t>
      </w:r>
      <w:r>
        <w:rPr>
          <w:rFonts w:ascii="Tinos" w:hAnsi="Tinos" w:cs="Tinos"/>
          <w:i w:val="0"/>
          <w:iCs w:val="0"/>
          <w:sz w:val="28"/>
          <w:szCs w:val="28"/>
          <w:highlight w:val="none"/>
        </w:rPr>
      </w:r>
      <w:r>
        <w:rPr>
          <w:rFonts w:ascii="Tinos" w:hAnsi="Tinos" w:cs="Tinos"/>
          <w:i w:val="0"/>
          <w:iCs w:val="0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b/>
          <w:bCs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/>
          <w:bCs/>
          <w:sz w:val="28"/>
          <w:szCs w:val="28"/>
        </w:rPr>
        <w:t xml:space="preserve">       На какой срок действует «Дачная амнистия»?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b/>
          <w:bCs/>
          <w:sz w:val="28"/>
          <w:szCs w:val="28"/>
        </w:rPr>
        <w:suppressLineNumbers w:val="0"/>
      </w:pP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       «Дачная амнистия» действует до 1 марта 2031 г</w:t>
      </w:r>
      <w:r>
        <w:rPr>
          <w:rFonts w:ascii="Tinos" w:hAnsi="Tinos" w:eastAsia="Tinos" w:cs="Tinos"/>
          <w:sz w:val="28"/>
          <w:szCs w:val="28"/>
        </w:rPr>
        <w:t xml:space="preserve">. </w:t>
      </w:r>
      <w:r>
        <w:rPr>
          <w:rFonts w:ascii="Tinos" w:hAnsi="Tinos" w:eastAsia="Tinos" w:cs="Tinos"/>
          <w:sz w:val="28"/>
          <w:szCs w:val="28"/>
        </w:rPr>
        <w:t xml:space="preserve">Порядок, </w:t>
      </w:r>
      <w:r>
        <w:rPr>
          <w:rFonts w:ascii="Tinos" w:hAnsi="Tinos" w:eastAsia="Tinos" w:cs="Tinos"/>
          <w:sz w:val="28"/>
          <w:szCs w:val="28"/>
        </w:rPr>
        <w:t xml:space="preserve">установленный статьей 3 Федерального закона от 25 октября 2001 г. № 137-ФЗ «О введении в действие Земельного кодекса Российской Федерации»,  решает проблему, связанную с невозможностью приобретения таких участков в общем порядке установленном Земельн</w:t>
      </w:r>
      <w:r>
        <w:rPr>
          <w:rFonts w:ascii="Tinos" w:hAnsi="Tinos" w:eastAsia="Tinos" w:cs="Tinos"/>
          <w:sz w:val="28"/>
          <w:szCs w:val="28"/>
        </w:rPr>
        <w:t xml:space="preserve">ым кодексом РФ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  <w:t xml:space="preserve"> Члены СНТ и ОНТ смогут бесплатно приобрести такие участки в собственность без торгов и зарегистрировать права на них в ЕГРН </w:t>
      </w:r>
      <w:r>
        <w:rPr>
          <w:rFonts w:ascii="Tinos" w:hAnsi="Tinos" w:eastAsia="Tinos" w:cs="Tinos"/>
          <w:sz w:val="28"/>
          <w:szCs w:val="28"/>
        </w:rPr>
        <w:t xml:space="preserve">без необходимости обращения в судебные инстанции. </w:t>
      </w:r>
      <w:r>
        <w:rPr>
          <w:rFonts w:ascii="Tinos" w:hAnsi="Tinos" w:cs="Tinos"/>
          <w:b w:val="0"/>
          <w:bCs w:val="0"/>
          <w:sz w:val="28"/>
          <w:szCs w:val="28"/>
          <w:highlight w:val="none"/>
        </w:rPr>
        <w:t xml:space="preserve">В случае, если </w:t>
      </w:r>
      <w:r>
        <w:rPr>
          <w:rFonts w:ascii="Tinos" w:hAnsi="Tinos" w:eastAsia="Tinos" w:cs="Tinos"/>
          <w:sz w:val="28"/>
          <w:szCs w:val="28"/>
        </w:rPr>
        <w:t xml:space="preserve">участок ограничен в обороте либо зарезервирован для государственных или муниципальных нужд,</w:t>
      </w:r>
      <w:r>
        <w:rPr>
          <w:rFonts w:ascii="Tinos" w:hAnsi="Tinos" w:cs="Tinos"/>
          <w:b w:val="0"/>
          <w:bCs w:val="0"/>
          <w:sz w:val="28"/>
          <w:szCs w:val="28"/>
          <w:highlight w:val="none"/>
        </w:rPr>
        <w:t xml:space="preserve"> челны СНТ и ОНТ могут рассчитывать на получение его в аренду.</w:t>
      </w:r>
      <w:r>
        <w:rPr>
          <w:rFonts w:ascii="Tinos" w:hAnsi="Tinos" w:cs="Tinos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b w:val="0"/>
          <w:bCs w:val="0"/>
          <w:sz w:val="28"/>
          <w:szCs w:val="28"/>
          <w:highlight w:val="none"/>
        </w:rPr>
        <w:t xml:space="preserve">       Распоряжение земельными участками в Самарской области осуществляют органы местного самоуправления </w:t>
      </w:r>
      <w:r>
        <w:rPr>
          <w:rFonts w:ascii="Tinos" w:hAnsi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sz w:val="28"/>
          <w:szCs w:val="28"/>
          <w:highlight w:val="none"/>
        </w:rPr>
        <w:t xml:space="preserve">(ОМС)</w:t>
      </w:r>
      <w:r>
        <w:rPr>
          <w:rFonts w:ascii="Tinos" w:hAnsi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sz w:val="28"/>
          <w:szCs w:val="28"/>
          <w:highlight w:val="none"/>
        </w:rPr>
        <w:t xml:space="preserve"> по месту нахождения земельного участка (в отношении муниципальной земли и участков с неразграниченной собственностью) и профильные исполнительные органы региона (в частности, Министерство имущественных отношений Самарской области).</w:t>
      </w:r>
      <w:r>
        <w:rPr>
          <w:rFonts w:ascii="Tinos" w:hAnsi="Tinos" w:cs="Tinos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b/>
          <w:bCs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/>
          <w:bCs/>
          <w:sz w:val="28"/>
          <w:szCs w:val="28"/>
        </w:rPr>
        <w:t xml:space="preserve">        Как разобраться, можно ли оформить земельный участок в собственность?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b/>
          <w:bCs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</w:rPr>
        <w:t xml:space="preserve">       Оформить права на садовый или огородный земельный участок можно при одновременном соблюдении условий: </w:t>
      </w:r>
      <w:r>
        <w:rPr>
          <w:rFonts w:ascii="Tinos" w:hAnsi="Tinos" w:eastAsia="Tinos" w:cs="Tinos"/>
          <w:sz w:val="28"/>
          <w:szCs w:val="28"/>
        </w:rPr>
        <w:t xml:space="preserve">вы являетесь членом СНТ или ОНТ; </w:t>
      </w:r>
      <w:r>
        <w:rPr>
          <w:rFonts w:ascii="Tinos" w:hAnsi="Tinos" w:eastAsia="Tinos" w:cs="Tinos"/>
          <w:sz w:val="28"/>
          <w:szCs w:val="28"/>
        </w:rPr>
        <w:t xml:space="preserve">ОМС ранее не предоставляли вам земельный участок; данный</w:t>
      </w:r>
      <w:r>
        <w:rPr>
          <w:rFonts w:ascii="Tinos" w:hAnsi="Tinos" w:eastAsia="Tinos" w:cs="Tinos"/>
          <w:sz w:val="28"/>
          <w:szCs w:val="28"/>
        </w:rPr>
        <w:t xml:space="preserve"> земельный участок образован из участка, предоставленного СНТ или ОНТ до 25 октября 2001 г. либо иной организации, при которой они были созданы (наприме</w:t>
      </w:r>
      <w:r>
        <w:rPr>
          <w:rFonts w:ascii="Tinos" w:hAnsi="Tinos" w:eastAsia="Tinos" w:cs="Tinos"/>
          <w:sz w:val="28"/>
          <w:szCs w:val="28"/>
        </w:rPr>
        <w:t xml:space="preserve">р, предприятию, для сотрудников которого было создано СНТ, был выделен участок для коллективного садоводства); </w:t>
      </w:r>
      <w:r>
        <w:rPr>
          <w:rFonts w:ascii="Tinos" w:hAnsi="Tinos" w:eastAsia="Tinos" w:cs="Tinos"/>
          <w:sz w:val="28"/>
          <w:szCs w:val="28"/>
        </w:rPr>
        <w:t xml:space="preserve">СНТ или ОНТ распределило вам земельный участок в границах территории ведения садоводства или огородничества;  </w:t>
      </w:r>
      <w:r>
        <w:rPr>
          <w:rFonts w:ascii="Tinos" w:hAnsi="Tinos" w:eastAsia="Tinos" w:cs="Tinos"/>
          <w:sz w:val="28"/>
          <w:szCs w:val="28"/>
        </w:rPr>
        <w:t xml:space="preserve">земельный участок не является изъяты</w:t>
      </w:r>
      <w:r>
        <w:rPr>
          <w:rFonts w:ascii="Tinos" w:hAnsi="Tinos" w:eastAsia="Tinos" w:cs="Tinos"/>
          <w:sz w:val="28"/>
          <w:szCs w:val="28"/>
        </w:rPr>
        <w:t xml:space="preserve">м из оборота.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      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Тот факт, что </w:t>
      </w:r>
      <w:r>
        <w:rPr>
          <w:rFonts w:ascii="Tinos" w:hAnsi="Tinos" w:eastAsia="Tinos" w:cs="Tinos"/>
          <w:sz w:val="28"/>
          <w:szCs w:val="28"/>
        </w:rPr>
        <w:t xml:space="preserve">вы являетесь членом реорганизованного СНТ или ОНТ – «наследника» организации, которой предоставлялся земельный участок или, если СНТ или ОНТ больше не существует, - </w:t>
      </w:r>
      <w:r>
        <w:rPr>
          <w:rFonts w:ascii="Tinos" w:hAnsi="Tinos" w:eastAsia="Tinos" w:cs="Tinos"/>
          <w:sz w:val="28"/>
          <w:szCs w:val="28"/>
        </w:rPr>
        <w:t xml:space="preserve">не помешает оформить земельный участок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.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b/>
          <w:bCs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/>
          <w:bCs/>
          <w:sz w:val="28"/>
          <w:szCs w:val="28"/>
        </w:rPr>
        <w:t xml:space="preserve">       Какие документы нужны для оформления садовых и огородных земельных участков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?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b/>
          <w:bCs/>
          <w:sz w:val="28"/>
          <w:szCs w:val="28"/>
        </w:rPr>
        <w:suppressLineNumbers w:val="0"/>
      </w:pP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       Понадобятся р</w:t>
      </w:r>
      <w:r>
        <w:rPr>
          <w:rFonts w:ascii="Tinos" w:hAnsi="Tinos" w:eastAsia="Tinos" w:cs="Tinos"/>
          <w:sz w:val="28"/>
          <w:szCs w:val="28"/>
        </w:rPr>
        <w:t xml:space="preserve">ешение общего собрания членов СНТ или ОНТ о распределении вам земельного участка либо иной документ о распределении земельных участков между членами в вашем товариществе. В некоторых случаях таким документом может являться членская книжка</w:t>
      </w:r>
      <w:r>
        <w:rPr>
          <w:rFonts w:ascii="Tinos" w:hAnsi="Tinos" w:eastAsia="Tinos" w:cs="Tinos"/>
          <w:sz w:val="28"/>
          <w:szCs w:val="28"/>
        </w:rPr>
        <w:t xml:space="preserve">; правоустанавливающий документ на участок, предоставленный СНТ или ОНТ до 25 октября 2001 г. либо организации, при которой они были созданы (если сведения о правах на такой участок отсутствуют в ЕГРН).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sz w:val="28"/>
          <w:szCs w:val="28"/>
        </w:rPr>
        <w:t xml:space="preserve">ОМС сами запрашивают: сведения из ЕГРН о правах на земельный участок, предоставленный СНТ или ОНТ; сведения о СНТ или ОНТ, содержащиеся в Едином государственном реестре юридических лиц.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b/>
          <w:bCs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/>
          <w:bCs/>
          <w:sz w:val="28"/>
          <w:szCs w:val="28"/>
        </w:rPr>
        <w:t xml:space="preserve">       С чего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 нужно начинать готовить документы для оформления?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b/>
          <w:bCs/>
          <w:sz w:val="28"/>
          <w:szCs w:val="28"/>
        </w:rPr>
        <w:suppressLineNumbers w:val="0"/>
      </w:pP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sz w:val="28"/>
          <w:szCs w:val="28"/>
        </w:rPr>
        <w:t xml:space="preserve">Если вы убедились, что ваш земельный участок подходит под «Дачную амнистию» и </w:t>
      </w:r>
      <w:r>
        <w:rPr>
          <w:rFonts w:ascii="Tinos" w:hAnsi="Tinos" w:eastAsia="Tinos" w:cs="Tinos"/>
          <w:sz w:val="28"/>
          <w:szCs w:val="28"/>
        </w:rPr>
        <w:t xml:space="preserve">у вас есть необходимые документы, нужно</w:t>
      </w:r>
      <w:r>
        <w:rPr>
          <w:rFonts w:ascii="Tinos" w:hAnsi="Tinos" w:eastAsia="Tinos" w:cs="Tinos"/>
          <w:sz w:val="28"/>
          <w:szCs w:val="28"/>
        </w:rPr>
        <w:t xml:space="preserve"> выяснить, стоит ли он на кадастровом учете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sz w:val="28"/>
          <w:szCs w:val="28"/>
        </w:rPr>
        <w:t xml:space="preserve"> Такие </w:t>
      </w:r>
      <w:r>
        <w:rPr>
          <w:rFonts w:ascii="Tinos" w:hAnsi="Tinos" w:eastAsia="Tinos" w:cs="Tinos"/>
          <w:sz w:val="28"/>
          <w:szCs w:val="28"/>
        </w:rPr>
        <w:t xml:space="preserve">сведения есть на Портале «Национальная система пространственных данных» (https://nspd.gov.ru); на сайте Росреестра в разделе «Справо</w:t>
      </w:r>
      <w:r>
        <w:rPr>
          <w:rFonts w:ascii="Tinos" w:hAnsi="Tinos" w:eastAsia="Tinos" w:cs="Tinos"/>
          <w:sz w:val="28"/>
          <w:szCs w:val="28"/>
        </w:rPr>
        <w:t xml:space="preserve">чная информация по объектам недвижимости в режиме online»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sz w:val="28"/>
          <w:szCs w:val="28"/>
        </w:rPr>
        <w:t xml:space="preserve"> Также можно обратиться в МФЦ; орган местного самоуправления; региональный филиал ППК «Роскадастр» или к кадастровому инженеру.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Если земельный участок не стоит на кадастровом учете, необходимо его образовать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 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     Как это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можно сделать? 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       </w:t>
      </w:r>
      <w:r>
        <w:rPr>
          <w:rFonts w:ascii="Tinos" w:hAnsi="Tinos" w:eastAsia="Tinos" w:cs="Tinos"/>
          <w:sz w:val="28"/>
          <w:szCs w:val="28"/>
        </w:rPr>
        <w:t xml:space="preserve">Уточните в местной администрации, утверждался ли на территорию СНТ или ОНТ проект межевания территории. Этот документ определяет направление развития этой территории и границы земельн</w:t>
      </w:r>
      <w:r>
        <w:rPr>
          <w:rFonts w:ascii="Tinos" w:hAnsi="Tinos" w:eastAsia="Tinos" w:cs="Tinos"/>
          <w:sz w:val="28"/>
          <w:szCs w:val="28"/>
        </w:rPr>
        <w:t xml:space="preserve">ых участков. </w:t>
      </w:r>
      <w:r>
        <w:rPr>
          <w:rFonts w:ascii="Tinos" w:hAnsi="Tinos" w:eastAsia="Tinos" w:cs="Tinos"/>
          <w:sz w:val="28"/>
          <w:szCs w:val="28"/>
        </w:rPr>
        <w:t xml:space="preserve">Если такой проект есть, образование земельного участка осуществляется в соответствии с ним</w:t>
      </w:r>
      <w:r>
        <w:rPr>
          <w:rFonts w:ascii="Tinos" w:hAnsi="Tinos" w:eastAsia="Tinos" w:cs="Tinos"/>
          <w:sz w:val="28"/>
          <w:szCs w:val="28"/>
        </w:rPr>
        <w:t xml:space="preserve">. </w:t>
      </w:r>
      <w:r>
        <w:rPr>
          <w:rFonts w:ascii="Tinos" w:hAnsi="Tinos" w:eastAsia="Tinos" w:cs="Tinos"/>
          <w:sz w:val="28"/>
          <w:szCs w:val="28"/>
        </w:rPr>
        <w:t xml:space="preserve">Если проекта межевания территории нет, то земельный участок будет образовываться на основании схемы расположения земельного участка на кадастровом плане территории</w:t>
      </w:r>
      <w:r>
        <w:rPr>
          <w:rFonts w:ascii="Tinos" w:hAnsi="Tinos" w:eastAsia="Tinos" w:cs="Tinos"/>
          <w:sz w:val="28"/>
          <w:szCs w:val="28"/>
        </w:rPr>
        <w:t xml:space="preserve">. 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b/>
          <w:bCs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  <w:t xml:space="preserve">       Как можно подготовить схему? 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b/>
          <w:bCs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</w:rPr>
        <w:t xml:space="preserve">       Вы можете сделать это самостоятельно, воспользовавшись утвержденной формой, а также с помощью ФГИС «Единая цифровая платформа «Национальная система пространственных данных» (НСПД).</w:t>
      </w:r>
      <w:r>
        <w:rPr>
          <w:rFonts w:ascii="Tinos" w:hAnsi="Tinos" w:eastAsia="Tinos" w:cs="Tinos"/>
          <w:sz w:val="28"/>
          <w:szCs w:val="28"/>
        </w:rPr>
        <w:t xml:space="preserve"> Требования к схеме и форма схемы утверждены приказом Росреестра от 19.04.2022 г. №П/0148.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b/>
          <w:bCs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     Что необходимо сделать дальше?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b/>
          <w:bCs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sz w:val="28"/>
          <w:szCs w:val="28"/>
        </w:rPr>
        <w:t xml:space="preserve">Когда схема расположения земельного участка подготовлена и оформлена в соответствии с установленными правилами, нужно официально обратиться в ОМС, который распоряжается земельным участком, с </w:t>
      </w:r>
      <w:r>
        <w:rPr>
          <w:rFonts w:ascii="Tinos" w:hAnsi="Tinos" w:eastAsia="Tinos" w:cs="Tinos"/>
          <w:sz w:val="28"/>
          <w:szCs w:val="28"/>
        </w:rPr>
        <w:t xml:space="preserve">заявлением о предварительном согласовании предоставления земельного участка. </w:t>
      </w:r>
      <w:r>
        <w:rPr>
          <w:rFonts w:ascii="Tinos" w:hAnsi="Tinos" w:eastAsia="Tinos" w:cs="Tinos"/>
          <w:sz w:val="28"/>
          <w:szCs w:val="28"/>
        </w:rPr>
        <w:t xml:space="preserve">В качестве основания</w:t>
      </w:r>
      <w:r>
        <w:rPr>
          <w:rFonts w:ascii="Tinos" w:hAnsi="Tinos" w:eastAsia="Tinos" w:cs="Tinos"/>
          <w:sz w:val="28"/>
          <w:szCs w:val="28"/>
        </w:rPr>
        <w:t xml:space="preserve"> в заявлении  нужно указать ссылку на пункт 2.7 статьи 3 Федерального закона от 25 октября 2001 г. № 137-ФЗ «О введении в действ</w:t>
      </w:r>
      <w:r>
        <w:rPr>
          <w:rFonts w:ascii="Tinos" w:hAnsi="Tinos" w:eastAsia="Tinos" w:cs="Tinos"/>
          <w:sz w:val="28"/>
          <w:szCs w:val="28"/>
        </w:rPr>
        <w:t xml:space="preserve">ие Земельного кодекса Российской Федерации»</w:t>
      </w:r>
      <w:r>
        <w:rPr>
          <w:rFonts w:ascii="Tinos" w:hAnsi="Tinos" w:eastAsia="Tinos" w:cs="Tinos"/>
          <w:sz w:val="28"/>
          <w:szCs w:val="28"/>
        </w:rPr>
        <w:t xml:space="preserve">. К заявлению прикладывается: схема расположения земельного участка на кадастровом плане территории (если нет проекта межевания территории); документ, подтверждающий полномочия представителя заявителя, </w:t>
      </w:r>
      <w:r>
        <w:rPr>
          <w:rFonts w:ascii="Tinos" w:hAnsi="Tinos" w:eastAsia="Tinos" w:cs="Tinos"/>
          <w:sz w:val="28"/>
          <w:szCs w:val="28"/>
        </w:rPr>
        <w:t xml:space="preserve">если с заявлением обращается представитель.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Через 14 дней вы получите решение ОМС.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Решение о предварительном согласовании предоставления земельного участка является основанием для предоставления земельного участка в собственность бесплатно. Участок предоставят после его постановки на государственный кадастровый учет и подачи вами в уполн</w:t>
      </w:r>
      <w:r>
        <w:rPr>
          <w:rFonts w:ascii="Tinos" w:hAnsi="Tinos" w:eastAsia="Tinos" w:cs="Tinos"/>
          <w:sz w:val="28"/>
          <w:szCs w:val="28"/>
        </w:rPr>
        <w:t xml:space="preserve">омоченный орган заявления о предоставлении земельного участка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sz w:val="28"/>
          <w:szCs w:val="28"/>
        </w:rPr>
        <w:t xml:space="preserve">На</w:t>
      </w:r>
      <w:r>
        <w:rPr>
          <w:rFonts w:ascii="Tinos" w:hAnsi="Tinos" w:eastAsia="Tinos" w:cs="Tinos"/>
          <w:sz w:val="28"/>
          <w:szCs w:val="28"/>
        </w:rPr>
        <w:t xml:space="preserve"> основании решения о предварительном согласовании предоставления земельного участка, которым также будет утверждена схема расположения земельного участка на кадастровом плане территории, вы обращаетесь к кадастровому инженеру для подготовки межевого плана.</w:t>
      </w:r>
      <w:r>
        <w:rPr>
          <w:rFonts w:ascii="Tinos" w:hAnsi="Tinos" w:eastAsia="Tinos" w:cs="Tinos"/>
          <w:sz w:val="28"/>
          <w:szCs w:val="28"/>
        </w:rPr>
        <w:t xml:space="preserve"> В договоре подряда с кадастровым инженером будут предусмотрены цена и сроки выполнения работ.</w:t>
      </w:r>
      <w:r>
        <w:rPr>
          <w:rFonts w:ascii="Tinos" w:hAnsi="Tinos" w:eastAsia="Tinos" w:cs="Tinos"/>
          <w:sz w:val="28"/>
          <w:szCs w:val="28"/>
        </w:rPr>
        <w:t xml:space="preserve">  Когда кадастровый инженер сообщит, что документы готовы, нужно обратиться в Росреестр для постановки земельного участка на государственный кадастровый учет.</w:t>
      </w:r>
      <w:r>
        <w:rPr>
          <w:rFonts w:ascii="Tinos" w:hAnsi="Tinos" w:eastAsia="Tinos" w:cs="Tinos"/>
          <w:sz w:val="28"/>
          <w:szCs w:val="28"/>
        </w:rPr>
        <w:t xml:space="preserve"> Документы для постановки на государственный кадастровый учет подаются в электронном виде через «Госуслуги» или официальном сайте Росреестра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. </w:t>
      </w:r>
      <w:r>
        <w:rPr>
          <w:rFonts w:ascii="Tinos" w:hAnsi="Tinos" w:eastAsia="Tinos" w:cs="Tinos"/>
          <w:sz w:val="28"/>
          <w:szCs w:val="28"/>
        </w:rPr>
        <w:t xml:space="preserve">Подать заявление может также кадастровый инженер, если это будет предусмотренно договором подряда.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Форма заявления о государственном кадастровом учете утверждена приказом Росреестра от 19.08.2020 г. № П/0310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. </w:t>
      </w:r>
      <w:r>
        <w:rPr>
          <w:rFonts w:ascii="Tinos" w:hAnsi="Tinos" w:eastAsia="Tinos" w:cs="Tinos"/>
          <w:sz w:val="28"/>
          <w:szCs w:val="28"/>
        </w:rPr>
        <w:t xml:space="preserve">В итоге вы получите выписку из ЕГРН на земельный участок. И у вас будут все необходимые документы для оформления прав на земельный участок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.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sz w:val="28"/>
          <w:szCs w:val="28"/>
        </w:rPr>
        <w:t xml:space="preserve">Когда у вас есть: решение о предварительном согласовании предоставления земельного участка; выписка из ЕГРН на земельный участок; решение общего собрания членов</w:t>
      </w:r>
      <w:r>
        <w:rPr>
          <w:rFonts w:ascii="Tinos" w:hAnsi="Tinos" w:eastAsia="Tinos" w:cs="Tinos"/>
          <w:sz w:val="28"/>
          <w:szCs w:val="28"/>
        </w:rPr>
        <w:t xml:space="preserve"> СНТ или ОНТ о распределении вам земельного участка</w:t>
      </w:r>
      <w:r>
        <w:rPr>
          <w:rFonts w:ascii="Tinos" w:hAnsi="Tinos" w:eastAsia="Tinos" w:cs="Tinos"/>
          <w:sz w:val="28"/>
          <w:szCs w:val="28"/>
        </w:rPr>
        <w:t xml:space="preserve"> - направьте эти документы вместе с заявлением о предоставлении земельного участка в ОМС - тот, в который вы обращались за предварительным согласованием предоставления земельного участка.</w:t>
      </w:r>
      <w:r>
        <w:rPr>
          <w:rFonts w:ascii="Tinos" w:hAnsi="Tinos" w:eastAsia="Tinos" w:cs="Tinos"/>
          <w:sz w:val="28"/>
          <w:szCs w:val="28"/>
        </w:rPr>
        <w:t xml:space="preserve"> После этого администрация должна принять решение о предоставлении вам земельного участка.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b/>
          <w:bCs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       Как происходит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регистрация прав на земельный участок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?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cs="Tinos"/>
          <w:b/>
          <w:bCs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b w:val="0"/>
          <w:bCs w:val="0"/>
          <w:sz w:val="28"/>
          <w:szCs w:val="28"/>
          <w:highlight w:val="none"/>
        </w:rPr>
        <w:t xml:space="preserve">       После принятия решения о предоставлении земельно</w:t>
      </w:r>
      <w:r>
        <w:rPr>
          <w:rFonts w:ascii="Tinos" w:hAnsi="Tinos" w:cs="Tinos"/>
          <w:b w:val="0"/>
          <w:bCs w:val="0"/>
          <w:sz w:val="28"/>
          <w:szCs w:val="28"/>
          <w:highlight w:val="none"/>
        </w:rPr>
        <w:t xml:space="preserve">го участка ОМС самостоятельно подает заявление о регистрации права собственности гражданина на этот земельный участок. Если администрация по техническим причинам такое заявление не подала, то гражданин может подать его самостоятельно в МФЦ или в </w:t>
      </w:r>
      <w:r>
        <w:rPr>
          <w:rFonts w:ascii="Tinos" w:hAnsi="Tinos" w:eastAsia="Tinos" w:cs="Tinos"/>
          <w:sz w:val="28"/>
          <w:szCs w:val="28"/>
        </w:rPr>
        <w:t xml:space="preserve">электронном виде через «Госуслуги»,  либо через официальный сайт Росреестра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. 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Когда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права на садовый или огородный земельный участок оформлены, вы являетесь его полноправным собственником. Выписка из ЕГРН подтверждает право собственности на земельный уча</w:t>
      </w:r>
      <w:r>
        <w:rPr>
          <w:rFonts w:ascii="Tinos" w:hAnsi="Tinos" w:eastAsia="Tinos" w:cs="Tinos"/>
          <w:sz w:val="28"/>
          <w:szCs w:val="28"/>
        </w:rPr>
        <w:t xml:space="preserve">сток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 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basedOn w:val="867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basedOn w:val="867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7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7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7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7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7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7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7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7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7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basedOn w:val="867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basedOn w:val="867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2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3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4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5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6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7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7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7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45</cp:revision>
  <dcterms:created xsi:type="dcterms:W3CDTF">2023-09-10T13:11:00Z</dcterms:created>
  <dcterms:modified xsi:type="dcterms:W3CDTF">2026-05-19T13:11:50Z</dcterms:modified>
</cp:coreProperties>
</file>