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20.03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Законопроект, упрощающий оформление прав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общее имущество в СНТ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120" w:line="360" w:lineRule="auto"/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Садоводы часто задают вопрос: </w:t>
      </w: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</w:rPr>
        <w:t xml:space="preserve">«Кому принадлежит земля в СНТ, которая не относится к садовым участкам? И как ее можно оформить?»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Начальник отдела регистрации земельных участков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Павел Найдовский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 отвечает: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«Земля, находящаяся на территории СНТ и не относящаяся к садовым участкам, является общим имуществом.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На ней могут располагать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ся дороги, инженерные коммуникации, места для сбора бытовых отходов, спортивные площадки и другое имущество для общих нужд.</w:t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Росреестр внес в Правительство РФ законопроект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, который упрощает механизм оформления прав на общее имущество СНТ.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Это позволит наладить механизмы передачи общего имущества СНТ в пользование ресурсоснабжающим организациям: электросетевым или газовым организациям, в том числе,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при проведении социальной газификации СНТ.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      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Согласно Закону 217-ФЗ, общее имущество СНТ должно находиться в общей долевой собственности членов СНТ.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Однако, чтобы оформить общее имущество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потребуется:</w:t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- провести общее собрание членов СНТ;</w:t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- рассчитать доли в праве общей собственности;</w:t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- оформить в Росреестре;</w:t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rPr>
          <w:rFonts w:ascii="Tinos" w:hAnsi="Tinos" w:eastAsia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- уплатить госпошлину за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регистрацию. </w:t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</w:rPr>
      </w:r>
    </w:p>
    <w:p>
      <w:pPr>
        <w:ind w:left="0" w:right="0" w:firstLine="567"/>
        <w:jc w:val="both"/>
        <w:spacing w:before="0" w:after="120" w:line="36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Законопроект же предусматривает, что право собственности членов СНТ на общее имущество возникает в силу закона с момента его постановки на кадастровый учет в Росреестре (аналогично с общим имуществом собственников помещений в МКД). Это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 намного упростит оформление прав на общее имущество СНТ и значительно сократит затраты садоводов».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0" w:after="120" w:line="36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suppressLineNumbers w:val="0"/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30315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46</cp:revision>
  <dcterms:created xsi:type="dcterms:W3CDTF">2023-09-10T13:11:00Z</dcterms:created>
  <dcterms:modified xsi:type="dcterms:W3CDTF">2026-03-20T05:06:06Z</dcterms:modified>
</cp:coreProperties>
</file>