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8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8.75pt;height:90.7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b/>
          <w:sz w:val="28"/>
          <w:szCs w:val="28"/>
          <w:highlight w:val="none"/>
        </w:rPr>
        <w:t xml:space="preserve">21.07.2026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360" w:lineRule="auto"/>
        <w:rPr>
          <w:rFonts w:ascii="Tinos" w:hAnsi="Tinos" w:eastAsia="Tinos" w:cs="Tinos"/>
          <w:b/>
          <w:bCs/>
          <w:color w:val="000000"/>
          <w:sz w:val="28"/>
          <w:szCs w:val="28"/>
        </w:rPr>
      </w:pPr>
      <w:r>
        <w:rPr>
          <w:rFonts w:ascii="Tinos" w:hAnsi="Tinos" w:eastAsia="Tinos" w:cs="Tinos"/>
          <w:b/>
          <w:bCs/>
          <w:color w:val="000000"/>
          <w:sz w:val="28"/>
          <w:szCs w:val="28"/>
        </w:rPr>
      </w:r>
      <w:r>
        <w:rPr>
          <w:rFonts w:ascii="Tinos" w:hAnsi="Tinos" w:eastAsia="Tinos" w:cs="Tinos"/>
          <w:b/>
          <w:bCs/>
          <w:sz w:val="28"/>
          <w:szCs w:val="28"/>
        </w:rPr>
        <w:t xml:space="preserve">Более трех тысяч обращений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отработано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 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самарским</w:t>
      </w:r>
      <w:r>
        <w:rPr>
          <w:rFonts w:ascii="Tinos" w:hAnsi="Tinos" w:eastAsia="Tinos" w:cs="Tinos"/>
          <w:b/>
          <w:bCs/>
          <w:color w:val="000000"/>
          <w:sz w:val="28"/>
          <w:szCs w:val="28"/>
        </w:rPr>
        <w:t xml:space="preserve"> Росреестром </w:t>
      </w:r>
      <w:r>
        <w:rPr>
          <w:rFonts w:ascii="Tinos" w:hAnsi="Tinos" w:eastAsia="Tinos" w:cs="Tinos"/>
          <w:b/>
          <w:bCs/>
          <w:color w:val="000000"/>
          <w:sz w:val="28"/>
          <w:szCs w:val="28"/>
        </w:rPr>
      </w:r>
      <w:r>
        <w:rPr>
          <w:rFonts w:ascii="Tinos" w:hAnsi="Tinos" w:eastAsia="Tinos" w:cs="Tinos"/>
          <w:b/>
          <w:bCs/>
          <w:color w:val="000000"/>
          <w:sz w:val="28"/>
          <w:szCs w:val="28"/>
        </w:rPr>
      </w:r>
    </w:p>
    <w:p>
      <w:pPr>
        <w:jc w:val="center"/>
        <w:spacing w:line="360" w:lineRule="auto"/>
        <w:rPr>
          <w:rFonts w:ascii="Tinos" w:hAnsi="Tinos" w:eastAsia="Tinos" w:cs="Tinos"/>
          <w:b/>
          <w:bCs/>
          <w:color w:val="000000"/>
          <w:sz w:val="28"/>
          <w:szCs w:val="28"/>
        </w:rPr>
      </w:pPr>
      <w:r>
        <w:rPr>
          <w:rFonts w:ascii="Tinos" w:hAnsi="Tinos" w:eastAsia="Tinos" w:cs="Tinos"/>
          <w:b/>
          <w:bCs/>
          <w:color w:val="000000"/>
          <w:sz w:val="28"/>
          <w:szCs w:val="28"/>
        </w:rPr>
      </w:r>
      <w:r>
        <w:rPr>
          <w:rFonts w:ascii="Tinos" w:hAnsi="Tinos" w:eastAsia="Tinos" w:cs="Tinos"/>
          <w:b/>
          <w:bCs/>
          <w:sz w:val="28"/>
          <w:szCs w:val="28"/>
        </w:rPr>
        <w:t xml:space="preserve">во 2-м квартале текущего года</w:t>
      </w:r>
      <w:r>
        <w:rPr>
          <w:rFonts w:ascii="Tinos" w:hAnsi="Tinos" w:eastAsia="Tinos" w:cs="Tinos"/>
          <w:b/>
          <w:bCs/>
          <w:color w:val="000000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bCs/>
          <w:color w:val="000000"/>
          <w:sz w:val="28"/>
          <w:szCs w:val="28"/>
        </w:rPr>
      </w:r>
      <w:r>
        <w:rPr>
          <w:rFonts w:ascii="Tinos" w:hAnsi="Tinos" w:eastAsia="Tinos" w:cs="Tinos"/>
          <w:b/>
          <w:bCs/>
          <w:color w:val="000000"/>
          <w:sz w:val="28"/>
          <w:szCs w:val="28"/>
        </w:rPr>
      </w:r>
    </w:p>
    <w:p>
      <w:pPr>
        <w:ind w:firstLine="720"/>
        <w:jc w:val="both"/>
        <w:rPr>
          <w:sz w:val="24"/>
          <w:szCs w:val="24"/>
          <w:highlight w:val="none"/>
        </w:rPr>
      </w:pPr>
      <w:r>
        <w:rPr>
          <w:rFonts w:ascii="Tinos" w:hAnsi="Tinos" w:eastAsia="Tinos" w:cs="Tinos"/>
          <w:color w:val="000000"/>
          <w:sz w:val="28"/>
          <w:szCs w:val="28"/>
        </w:rPr>
        <w:t xml:space="preserve">    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Более 3 тысяч обращений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  </w:t>
      </w:r>
      <w:r>
        <w:rPr>
          <w:rFonts w:ascii="Tinos" w:hAnsi="Tinos" w:eastAsia="Tinos" w:cs="Tinos"/>
          <w:sz w:val="28"/>
          <w:szCs w:val="28"/>
        </w:rPr>
        <w:t xml:space="preserve">было отработано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Управлением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 Росреестра по Самарской области</w:t>
      </w:r>
      <w:r>
        <w:rPr>
          <w:rFonts w:ascii="Tinos" w:hAnsi="Tinos" w:eastAsia="Tinos" w:cs="Tinos"/>
          <w:sz w:val="28"/>
          <w:szCs w:val="28"/>
        </w:rPr>
        <w:t xml:space="preserve"> во 2-м квартале 2026 г.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 Работа самарского Росреестра с заявителями ежедневно строится так, чтобы было удобно и прозрачно для людей и для бизнеса.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Специалисты помогают разобраться в вопросах: как оформить документы, какие есть нюансы при регистрации прав или кадастровом учете, как избежать ошибок, которые могут привести к приостановке регистрационных действий.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firstLine="720"/>
        <w:jc w:val="both"/>
        <w:rPr>
          <w:rFonts w:ascii="Tinos" w:hAnsi="Tinos" w:cs="Tinos"/>
          <w:sz w:val="28"/>
          <w:szCs w:val="28"/>
          <w:highlight w:val="none"/>
        </w:rPr>
      </w:pPr>
      <w:r>
        <w:rPr>
          <w:sz w:val="24"/>
          <w:szCs w:val="24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  <w:t xml:space="preserve">Львиная доля - около 60% обращений, поступила через платформу обратной связи (ПОС);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 нарочно, почтовым отправлением, электронной почтой от юридических лиц - 17,3 %; через 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ведомственный центр телефонного обслуживания (ВЦТО) - 16,7 %; 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на личном приеме – побывали  7,3 % заявителей.</w:t>
      </w:r>
      <w:r>
        <w:rPr>
          <w:rFonts w:ascii="Tinos" w:hAnsi="Tinos" w:cs="Tinos"/>
          <w:sz w:val="28"/>
          <w:szCs w:val="28"/>
          <w:highlight w:val="none"/>
        </w:rPr>
      </w:r>
      <w:r>
        <w:rPr>
          <w:rFonts w:ascii="Tinos" w:hAnsi="Tinos" w:cs="Tinos"/>
          <w:sz w:val="28"/>
          <w:szCs w:val="28"/>
          <w:highlight w:val="none"/>
        </w:rPr>
      </w:r>
    </w:p>
    <w:p>
      <w:pPr>
        <w:jc w:val="both"/>
        <w:spacing w:line="360" w:lineRule="auto"/>
        <w:rPr>
          <w:rFonts w:ascii="Tinos" w:hAnsi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color w:val="000000"/>
          <w:sz w:val="28"/>
          <w:szCs w:val="28"/>
        </w:rPr>
        <w:t xml:space="preserve">       Напоминаем, что ведомство принимает обращения  очно и дистанционно:</w:t>
      </w:r>
      <w:r>
        <w:rPr>
          <w:rFonts w:ascii="Tinos" w:hAnsi="Tinos" w:cs="Tinos"/>
          <w:b/>
          <w:bCs/>
          <w:sz w:val="28"/>
          <w:szCs w:val="28"/>
          <w:highlight w:val="none"/>
        </w:rPr>
      </w:r>
      <w:r>
        <w:rPr>
          <w:rFonts w:ascii="Tinos" w:hAnsi="Tinos" w:cs="Tinos"/>
          <w:b/>
          <w:bCs/>
          <w:sz w:val="28"/>
          <w:szCs w:val="28"/>
          <w:highlight w:val="none"/>
        </w:rPr>
      </w:r>
    </w:p>
    <w:p>
      <w:pPr>
        <w:pStyle w:val="676"/>
        <w:numPr>
          <w:ilvl w:val="0"/>
          <w:numId w:val="1"/>
        </w:numPr>
        <w:ind w:right="0"/>
        <w:jc w:val="both"/>
        <w:spacing w:line="360" w:lineRule="auto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/>
          <w:color w:val="000000"/>
          <w:sz w:val="28"/>
          <w:szCs w:val="28"/>
        </w:rPr>
        <w:t xml:space="preserve">По телефону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 — через ведомственный центр телефонного обслуживания (ВЦТО) или единый бесплатный номер 8 800 100-34-34. 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676"/>
        <w:numPr>
          <w:ilvl w:val="0"/>
          <w:numId w:val="1"/>
        </w:numPr>
        <w:ind w:right="0"/>
        <w:jc w:val="both"/>
        <w:spacing w:line="360" w:lineRule="auto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/>
          <w:color w:val="000000"/>
          <w:sz w:val="28"/>
          <w:szCs w:val="28"/>
        </w:rPr>
        <w:t xml:space="preserve">Письменно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 — почтой.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676"/>
        <w:numPr>
          <w:ilvl w:val="0"/>
          <w:numId w:val="1"/>
        </w:numPr>
        <w:ind w:right="0"/>
        <w:jc w:val="both"/>
        <w:spacing w:line="360" w:lineRule="auto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/>
          <w:color w:val="000000"/>
          <w:sz w:val="28"/>
          <w:szCs w:val="28"/>
        </w:rPr>
        <w:t xml:space="preserve">Электронно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 — через официальный сайт Росреестра, а также через </w:t>
      </w:r>
      <w:r>
        <w:rPr>
          <w:rFonts w:ascii="Tinos" w:hAnsi="Tinos" w:eastAsia="Tinos" w:cs="Tinos"/>
          <w:b/>
          <w:color w:val="000000"/>
          <w:sz w:val="28"/>
          <w:szCs w:val="28"/>
        </w:rPr>
        <w:t xml:space="preserve">Платформу обратной связи (ПОС)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  (через портал ЕПГУ, мобильное приложение «Госуслуги. Решаем вместе»)</w:t>
      </w:r>
      <w:r>
        <w:rPr>
          <w:rFonts w:ascii="Tinos" w:hAnsi="Tinos" w:eastAsia="Tinos" w:cs="Tinos"/>
          <w:sz w:val="28"/>
          <w:szCs w:val="28"/>
        </w:rPr>
        <w:t xml:space="preserve">.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676"/>
        <w:numPr>
          <w:ilvl w:val="0"/>
          <w:numId w:val="1"/>
        </w:numPr>
        <w:ind w:right="0"/>
        <w:jc w:val="both"/>
        <w:spacing w:line="360" w:lineRule="auto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/>
          <w:color w:val="000000"/>
          <w:sz w:val="28"/>
          <w:szCs w:val="28"/>
        </w:rPr>
        <w:t xml:space="preserve">Через систему досудебного обжалования (ФГИС ДО)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 — если есть спор по качеству услуги. 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676"/>
        <w:numPr>
          <w:ilvl w:val="0"/>
          <w:numId w:val="1"/>
        </w:numPr>
        <w:ind w:right="0"/>
        <w:jc w:val="both"/>
        <w:spacing w:line="360" w:lineRule="auto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/>
          <w:color w:val="000000"/>
          <w:sz w:val="28"/>
          <w:szCs w:val="28"/>
        </w:rPr>
        <w:t xml:space="preserve">Через соцсети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 — в официальной группе во «ВКонтакте» (vk.com/rosreestr63).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676"/>
        <w:numPr>
          <w:ilvl w:val="0"/>
          <w:numId w:val="1"/>
        </w:numPr>
        <w:ind w:right="0"/>
        <w:jc w:val="both"/>
        <w:spacing w:line="360" w:lineRule="auto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/>
          <w:color w:val="000000"/>
          <w:sz w:val="28"/>
          <w:szCs w:val="28"/>
        </w:rPr>
        <w:t xml:space="preserve">Лично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 — </w:t>
      </w:r>
      <w:r>
        <w:rPr>
          <w:rFonts w:ascii="Tinos" w:hAnsi="Tinos" w:eastAsia="Tinos" w:cs="Tinos"/>
          <w:sz w:val="28"/>
          <w:szCs w:val="28"/>
        </w:rPr>
        <w:t xml:space="preserve">должностными  лицами  Управления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 (г. Самара, ул. Некрасовская, д. 3) </w:t>
      </w:r>
      <w:r>
        <w:rPr>
          <w:rFonts w:ascii="Tinos" w:hAnsi="Tinos" w:eastAsia="Tinos" w:cs="Tinos"/>
          <w:sz w:val="28"/>
          <w:szCs w:val="28"/>
        </w:rPr>
        <w:t xml:space="preserve">в соответствии графиком по предварительной записи.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left="0" w:right="0" w:firstLine="0"/>
        <w:jc w:val="both"/>
        <w:spacing w:line="360" w:lineRule="auto"/>
        <w:rPr>
          <w:rFonts w:ascii="Tinos" w:hAnsi="Tinos" w:cs="Tinos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     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Все поступающие обращения отрабатываются структурными подразделениями в соответствии с их компетенцией.</w:t>
      </w:r>
      <w:r>
        <w:rPr>
          <w:rFonts w:ascii="Tinos" w:hAnsi="Tinos" w:eastAsia="Tinos" w:cs="Tinos"/>
          <w:sz w:val="28"/>
          <w:szCs w:val="28"/>
        </w:rPr>
        <w:t xml:space="preserve">   </w:t>
      </w:r>
      <w:r>
        <w:rPr>
          <w:rFonts w:ascii="Tinos" w:hAnsi="Tinos" w:cs="Tinos"/>
          <w:color w:val="000000"/>
          <w:sz w:val="28"/>
          <w:szCs w:val="28"/>
        </w:rPr>
      </w:r>
      <w:r>
        <w:rPr>
          <w:rFonts w:ascii="Tinos" w:hAnsi="Tinos" w:cs="Tinos"/>
          <w:color w:val="000000"/>
          <w:sz w:val="28"/>
          <w:szCs w:val="28"/>
        </w:rPr>
      </w:r>
    </w:p>
    <w:p>
      <w:pPr>
        <w:ind w:left="0" w:right="0" w:firstLine="0"/>
        <w:jc w:val="both"/>
        <w:spacing w:line="360" w:lineRule="auto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/>
          <w:color w:val="000000"/>
          <w:sz w:val="28"/>
          <w:szCs w:val="28"/>
        </w:rPr>
        <w:t xml:space="preserve">       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</w:rPr>
        <w:t xml:space="preserve">Также 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</w:rPr>
        <w:t xml:space="preserve">решают и сложные кейсы.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 Если вопрос нетипичный, в Управлении  подключают профильные отделы или организовывают запись на прием.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nos" w:hAnsi="Tinos" w:cs="Tinos"/>
          <w:i/>
          <w:iCs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       </w:t>
      </w:r>
      <w:r>
        <w:rPr>
          <w:rFonts w:ascii="Tinos" w:hAnsi="Tinos" w:eastAsia="Tinos" w:cs="Tinos"/>
          <w:i/>
          <w:iCs/>
          <w:color w:val="000000"/>
          <w:sz w:val="28"/>
          <w:szCs w:val="28"/>
        </w:rPr>
        <w:t xml:space="preserve">«Цель такой работы — сделать получение госуслуг в сфере недвижимости максималь</w:t>
      </w:r>
      <w:r>
        <w:rPr>
          <w:rFonts w:ascii="Tinos" w:hAnsi="Tinos" w:eastAsia="Tinos" w:cs="Tinos"/>
          <w:i/>
          <w:iCs/>
          <w:color w:val="000000"/>
          <w:sz w:val="28"/>
          <w:szCs w:val="28"/>
        </w:rPr>
        <w:t xml:space="preserve">но доступным и снизить число спорных ситуаций,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– отмечает заместитель руководителя самарского Росреестр </w:t>
      </w:r>
      <w:r>
        <w:rPr>
          <w:rFonts w:ascii="Tinos" w:hAnsi="Tinos" w:eastAsia="Tinos" w:cs="Tinos"/>
          <w:b/>
          <w:bCs/>
          <w:color w:val="000000"/>
          <w:sz w:val="28"/>
          <w:szCs w:val="28"/>
        </w:rPr>
        <w:t xml:space="preserve">Ольга Суздальцева.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-  </w:t>
      </w:r>
      <w:r>
        <w:rPr>
          <w:rFonts w:ascii="Tinos" w:hAnsi="Tinos" w:eastAsia="Tinos" w:cs="Tinos"/>
          <w:i/>
          <w:iCs/>
          <w:color w:val="000000"/>
          <w:sz w:val="28"/>
          <w:szCs w:val="28"/>
        </w:rPr>
        <w:t xml:space="preserve">Заявитель может выбрать удобный канал связи, получить консультацию до подачи документов и быть в курсе статуса своего обращения». </w:t>
      </w:r>
      <w:r>
        <w:rPr>
          <w:rFonts w:ascii="Tinos" w:hAnsi="Tinos" w:cs="Tinos"/>
          <w:i/>
          <w:iCs/>
          <w:sz w:val="28"/>
          <w:szCs w:val="28"/>
        </w:rPr>
      </w:r>
      <w:r>
        <w:rPr>
          <w:rFonts w:ascii="Tinos" w:hAnsi="Tinos" w:cs="Tinos"/>
          <w:i/>
          <w:iCs/>
          <w:sz w:val="28"/>
          <w:szCs w:val="28"/>
          <w:highlight w:val="none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nos" w:hAnsi="Tinos" w:cs="Tinos"/>
          <w:bCs/>
          <w:i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cs="Tinos"/>
          <w:i w:val="0"/>
          <w:iCs w:val="0"/>
          <w:sz w:val="28"/>
          <w:szCs w:val="28"/>
          <w:highlight w:val="none"/>
        </w:rPr>
        <w:t xml:space="preserve">Читайте новости самарского Росреестра в Мах: </w:t>
      </w:r>
      <w:r>
        <w:rPr>
          <w:rFonts w:ascii="Tinos" w:hAnsi="Tinos" w:cs="Tinos"/>
          <w:i w:val="0"/>
          <w:iCs w:val="0"/>
          <w:sz w:val="28"/>
          <w:szCs w:val="28"/>
          <w:highlight w:val="none"/>
        </w:rPr>
        <w:t xml:space="preserve">https://max.ru/id6317053595_gos</w:t>
      </w:r>
      <w:r>
        <w:rPr>
          <w:rFonts w:ascii="Tinos" w:hAnsi="Tinos" w:cs="Tinos"/>
          <w:i w:val="0"/>
          <w:iCs w:val="0"/>
          <w:sz w:val="28"/>
          <w:szCs w:val="28"/>
          <w:highlight w:val="none"/>
        </w:rPr>
      </w:r>
      <w:r>
        <w:rPr>
          <w:rFonts w:ascii="Tinos" w:hAnsi="Tinos" w:cs="Tinos"/>
          <w:i/>
          <w:iCs/>
          <w:sz w:val="28"/>
          <w:szCs w:val="28"/>
          <w:highlight w:val="none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nos" w:hAnsi="Tinos" w:cs="Tinos"/>
          <w:bCs/>
          <w:i/>
          <w:color w:val="000000" w:themeColor="text1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6"/>
          <w:szCs w:val="26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15050" cy="635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518511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115050" cy="634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81.50pt;height:0.50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nos" w:hAnsi="Tinos" w:cs="Tinos"/>
          <w:bCs/>
          <w:i/>
          <w:color w:val="000000" w:themeColor="text1"/>
          <w:sz w:val="26"/>
          <w:szCs w:val="26"/>
        </w:rPr>
      </w:r>
      <w:r>
        <w:rPr>
          <w:rFonts w:ascii="Tinos" w:hAnsi="Tinos" w:cs="Tinos"/>
          <w:bCs/>
          <w:i/>
          <w:color w:val="000000" w:themeColor="text1"/>
          <w:sz w:val="26"/>
          <w:szCs w:val="26"/>
        </w:rPr>
      </w:r>
    </w:p>
    <w:p>
      <w:pPr>
        <w:jc w:val="both"/>
        <w:spacing w:line="276" w:lineRule="auto"/>
        <w:rPr>
          <w:rFonts w:ascii="Times New Roman" w:hAnsi="Times New Roman" w:eastAsia="Calibri" w:cs="Times New Roman"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>
        <w:rPr>
          <w:rFonts w:ascii="Times New Roman" w:hAnsi="Times New Roman" w:eastAsia="Calibri" w:cs="Times New Roman"/>
          <w:sz w:val="22"/>
          <w:szCs w:val="22"/>
        </w:rPr>
        <w:t xml:space="preserve">Материал подготовлен пресс-службой </w:t>
      </w:r>
      <w:r>
        <w:rPr>
          <w:rFonts w:ascii="Times New Roman" w:hAnsi="Times New Roman" w:eastAsia="Calibri" w:cs="Times New Roman"/>
          <w:sz w:val="22"/>
          <w:szCs w:val="22"/>
        </w:rPr>
        <w:t xml:space="preserve">Управления</w:t>
      </w:r>
      <w:r>
        <w:rPr>
          <w:rFonts w:ascii="Times New Roman" w:hAnsi="Times New Roman" w:eastAsia="Calibri" w:cs="Times New Roman"/>
          <w:sz w:val="22"/>
          <w:szCs w:val="22"/>
        </w:rPr>
        <w:t xml:space="preserve"> Росреестра по Самарской области</w:t>
      </w:r>
      <w:r>
        <w:rPr>
          <w:rFonts w:ascii="Times New Roman" w:hAnsi="Times New Roman" w:eastAsia="Calibri" w:cs="Times New Roman"/>
          <w:sz w:val="22"/>
          <w:szCs w:val="22"/>
        </w:rPr>
      </w:r>
      <w:r>
        <w:rPr>
          <w:rFonts w:ascii="Times New Roman" w:hAnsi="Times New Roman" w:eastAsia="Calibri" w:cs="Times New Roman"/>
          <w:sz w:val="22"/>
          <w:szCs w:val="22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nos">
    <w:panose1 w:val="02020603050405020304"/>
  </w:font>
  <w:font w:name="Symbol">
    <w:panose1 w:val="05010000000000000000"/>
  </w:font>
  <w:font w:name="Tahoma">
    <w:panose1 w:val="020B0604030504040204"/>
  </w:font>
  <w:font w:name="Times New Roman">
    <w:panose1 w:val="02020603050405020304"/>
  </w:font>
  <w:font w:name="Andale Sans UI">
    <w:panose1 w:val="02000603000000000000"/>
  </w:font>
  <w:font w:name="Segoe UI">
    <w:panose1 w:val="020B0502040504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8">
    <w:name w:val="Heading 1"/>
    <w:basedOn w:val="836"/>
    <w:next w:val="836"/>
    <w:link w:val="65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9">
    <w:name w:val="Heading 1 Char"/>
    <w:basedOn w:val="837"/>
    <w:link w:val="658"/>
    <w:uiPriority w:val="9"/>
    <w:rPr>
      <w:rFonts w:ascii="Arial" w:hAnsi="Arial" w:eastAsia="Arial" w:cs="Arial"/>
      <w:sz w:val="40"/>
      <w:szCs w:val="40"/>
    </w:rPr>
  </w:style>
  <w:style w:type="paragraph" w:styleId="660">
    <w:name w:val="Heading 2"/>
    <w:basedOn w:val="836"/>
    <w:next w:val="836"/>
    <w:link w:val="66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1">
    <w:name w:val="Heading 2 Char"/>
    <w:basedOn w:val="837"/>
    <w:link w:val="660"/>
    <w:uiPriority w:val="9"/>
    <w:rPr>
      <w:rFonts w:ascii="Arial" w:hAnsi="Arial" w:eastAsia="Arial" w:cs="Arial"/>
      <w:sz w:val="34"/>
    </w:rPr>
  </w:style>
  <w:style w:type="paragraph" w:styleId="662">
    <w:name w:val="Heading 3"/>
    <w:basedOn w:val="836"/>
    <w:next w:val="836"/>
    <w:link w:val="66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3">
    <w:name w:val="Heading 3 Char"/>
    <w:basedOn w:val="837"/>
    <w:link w:val="662"/>
    <w:uiPriority w:val="9"/>
    <w:rPr>
      <w:rFonts w:ascii="Arial" w:hAnsi="Arial" w:eastAsia="Arial" w:cs="Arial"/>
      <w:sz w:val="30"/>
      <w:szCs w:val="30"/>
    </w:rPr>
  </w:style>
  <w:style w:type="paragraph" w:styleId="664">
    <w:name w:val="Heading 4"/>
    <w:basedOn w:val="836"/>
    <w:next w:val="836"/>
    <w:link w:val="66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5">
    <w:name w:val="Heading 4 Char"/>
    <w:basedOn w:val="837"/>
    <w:link w:val="664"/>
    <w:uiPriority w:val="9"/>
    <w:rPr>
      <w:rFonts w:ascii="Arial" w:hAnsi="Arial" w:eastAsia="Arial" w:cs="Arial"/>
      <w:b/>
      <w:bCs/>
      <w:sz w:val="26"/>
      <w:szCs w:val="26"/>
    </w:rPr>
  </w:style>
  <w:style w:type="paragraph" w:styleId="666">
    <w:name w:val="Heading 5"/>
    <w:basedOn w:val="836"/>
    <w:next w:val="836"/>
    <w:link w:val="66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7">
    <w:name w:val="Heading 5 Char"/>
    <w:basedOn w:val="837"/>
    <w:link w:val="666"/>
    <w:uiPriority w:val="9"/>
    <w:rPr>
      <w:rFonts w:ascii="Arial" w:hAnsi="Arial" w:eastAsia="Arial" w:cs="Arial"/>
      <w:b/>
      <w:bCs/>
      <w:sz w:val="24"/>
      <w:szCs w:val="24"/>
    </w:rPr>
  </w:style>
  <w:style w:type="paragraph" w:styleId="668">
    <w:name w:val="Heading 6"/>
    <w:basedOn w:val="836"/>
    <w:next w:val="836"/>
    <w:link w:val="66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9">
    <w:name w:val="Heading 6 Char"/>
    <w:basedOn w:val="837"/>
    <w:link w:val="668"/>
    <w:uiPriority w:val="9"/>
    <w:rPr>
      <w:rFonts w:ascii="Arial" w:hAnsi="Arial" w:eastAsia="Arial" w:cs="Arial"/>
      <w:b/>
      <w:bCs/>
      <w:sz w:val="22"/>
      <w:szCs w:val="22"/>
    </w:rPr>
  </w:style>
  <w:style w:type="paragraph" w:styleId="670">
    <w:name w:val="Heading 7"/>
    <w:basedOn w:val="836"/>
    <w:next w:val="836"/>
    <w:link w:val="67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1">
    <w:name w:val="Heading 7 Char"/>
    <w:basedOn w:val="837"/>
    <w:link w:val="6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2">
    <w:name w:val="Heading 8"/>
    <w:basedOn w:val="836"/>
    <w:next w:val="836"/>
    <w:link w:val="67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3">
    <w:name w:val="Heading 8 Char"/>
    <w:basedOn w:val="837"/>
    <w:link w:val="672"/>
    <w:uiPriority w:val="9"/>
    <w:rPr>
      <w:rFonts w:ascii="Arial" w:hAnsi="Arial" w:eastAsia="Arial" w:cs="Arial"/>
      <w:i/>
      <w:iCs/>
      <w:sz w:val="22"/>
      <w:szCs w:val="22"/>
    </w:rPr>
  </w:style>
  <w:style w:type="paragraph" w:styleId="674">
    <w:name w:val="Heading 9"/>
    <w:basedOn w:val="836"/>
    <w:next w:val="836"/>
    <w:link w:val="67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5">
    <w:name w:val="Heading 9 Char"/>
    <w:basedOn w:val="837"/>
    <w:link w:val="674"/>
    <w:uiPriority w:val="9"/>
    <w:rPr>
      <w:rFonts w:ascii="Arial" w:hAnsi="Arial" w:eastAsia="Arial" w:cs="Arial"/>
      <w:i/>
      <w:iCs/>
      <w:sz w:val="21"/>
      <w:szCs w:val="21"/>
    </w:rPr>
  </w:style>
  <w:style w:type="paragraph" w:styleId="676">
    <w:name w:val="List Paragraph"/>
    <w:basedOn w:val="836"/>
    <w:uiPriority w:val="34"/>
    <w:qFormat/>
    <w:pPr>
      <w:contextualSpacing/>
      <w:ind w:left="720"/>
    </w:pPr>
  </w:style>
  <w:style w:type="paragraph" w:styleId="677">
    <w:name w:val="No Spacing"/>
    <w:uiPriority w:val="1"/>
    <w:qFormat/>
    <w:pPr>
      <w:spacing w:before="0" w:after="0" w:line="240" w:lineRule="auto"/>
    </w:pPr>
  </w:style>
  <w:style w:type="paragraph" w:styleId="678">
    <w:name w:val="Title"/>
    <w:basedOn w:val="836"/>
    <w:next w:val="836"/>
    <w:link w:val="67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9">
    <w:name w:val="Title Char"/>
    <w:basedOn w:val="837"/>
    <w:link w:val="678"/>
    <w:uiPriority w:val="10"/>
    <w:rPr>
      <w:sz w:val="48"/>
      <w:szCs w:val="48"/>
    </w:rPr>
  </w:style>
  <w:style w:type="paragraph" w:styleId="680">
    <w:name w:val="Subtitle"/>
    <w:basedOn w:val="836"/>
    <w:next w:val="836"/>
    <w:link w:val="681"/>
    <w:uiPriority w:val="11"/>
    <w:qFormat/>
    <w:pPr>
      <w:spacing w:before="200" w:after="200"/>
    </w:pPr>
    <w:rPr>
      <w:sz w:val="24"/>
      <w:szCs w:val="24"/>
    </w:rPr>
  </w:style>
  <w:style w:type="character" w:styleId="681">
    <w:name w:val="Subtitle Char"/>
    <w:basedOn w:val="837"/>
    <w:link w:val="680"/>
    <w:uiPriority w:val="11"/>
    <w:rPr>
      <w:sz w:val="24"/>
      <w:szCs w:val="24"/>
    </w:rPr>
  </w:style>
  <w:style w:type="paragraph" w:styleId="682">
    <w:name w:val="Quote"/>
    <w:basedOn w:val="836"/>
    <w:next w:val="836"/>
    <w:link w:val="683"/>
    <w:uiPriority w:val="29"/>
    <w:qFormat/>
    <w:pPr>
      <w:ind w:left="720" w:right="720"/>
    </w:pPr>
    <w:rPr>
      <w:i/>
    </w:rPr>
  </w:style>
  <w:style w:type="character" w:styleId="683">
    <w:name w:val="Quote Char"/>
    <w:link w:val="682"/>
    <w:uiPriority w:val="29"/>
    <w:rPr>
      <w:i/>
    </w:rPr>
  </w:style>
  <w:style w:type="paragraph" w:styleId="684">
    <w:name w:val="Intense Quote"/>
    <w:basedOn w:val="836"/>
    <w:next w:val="836"/>
    <w:link w:val="68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5">
    <w:name w:val="Intense Quote Char"/>
    <w:link w:val="684"/>
    <w:uiPriority w:val="30"/>
    <w:rPr>
      <w:i/>
    </w:rPr>
  </w:style>
  <w:style w:type="paragraph" w:styleId="686">
    <w:name w:val="Header"/>
    <w:basedOn w:val="836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Header Char"/>
    <w:basedOn w:val="837"/>
    <w:link w:val="686"/>
    <w:uiPriority w:val="99"/>
  </w:style>
  <w:style w:type="paragraph" w:styleId="688">
    <w:name w:val="Footer"/>
    <w:basedOn w:val="836"/>
    <w:link w:val="69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9">
    <w:name w:val="Footer Char"/>
    <w:basedOn w:val="837"/>
    <w:link w:val="688"/>
    <w:uiPriority w:val="99"/>
  </w:style>
  <w:style w:type="paragraph" w:styleId="690">
    <w:name w:val="Caption"/>
    <w:basedOn w:val="836"/>
    <w:next w:val="83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1">
    <w:name w:val="Caption Char"/>
    <w:basedOn w:val="690"/>
    <w:link w:val="688"/>
    <w:uiPriority w:val="99"/>
  </w:style>
  <w:style w:type="table" w:styleId="692">
    <w:name w:val="Table Grid"/>
    <w:basedOn w:val="83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Table Grid Light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Plain Table 1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2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7">
    <w:name w:val="Plain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Plain Table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9">
    <w:name w:val="Grid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1">
    <w:name w:val="Grid Table 4 - Accent 1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2">
    <w:name w:val="Grid Table 4 - Accent 2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3">
    <w:name w:val="Grid Table 4 - Accent 3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4">
    <w:name w:val="Grid Table 4 - Accent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5">
    <w:name w:val="Grid Table 4 - Accent 5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6">
    <w:name w:val="Grid Table 4 - Accent 6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7">
    <w:name w:val="Grid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1">
    <w:name w:val="Grid Table 5 Dark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4">
    <w:name w:val="Grid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5">
    <w:name w:val="Grid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6">
    <w:name w:val="Grid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7">
    <w:name w:val="Grid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8">
    <w:name w:val="Grid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9">
    <w:name w:val="Grid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0">
    <w:name w:val="Grid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1">
    <w:name w:val="Grid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6">
    <w:name w:val="List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7">
    <w:name w:val="List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8">
    <w:name w:val="List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9">
    <w:name w:val="List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0">
    <w:name w:val="List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1">
    <w:name w:val="List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2">
    <w:name w:val="List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4">
    <w:name w:val="List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5">
    <w:name w:val="List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6">
    <w:name w:val="List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7">
    <w:name w:val="List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8">
    <w:name w:val="List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9">
    <w:name w:val="List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0">
    <w:name w:val="List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1">
    <w:name w:val="List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2">
    <w:name w:val="List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3">
    <w:name w:val="List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4">
    <w:name w:val="List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5">
    <w:name w:val="List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6">
    <w:name w:val="List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7">
    <w:name w:val="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8">
    <w:name w:val="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9">
    <w:name w:val="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0">
    <w:name w:val="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1">
    <w:name w:val="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2">
    <w:name w:val="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3">
    <w:name w:val="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4">
    <w:name w:val="Bordered &amp; 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5">
    <w:name w:val="Bordered &amp; 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6">
    <w:name w:val="Bordered &amp; 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7">
    <w:name w:val="Bordered &amp; 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8">
    <w:name w:val="Bordered &amp; 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9">
    <w:name w:val="Bordered &amp; 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0">
    <w:name w:val="Bordered &amp; 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1">
    <w:name w:val="Bordered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2">
    <w:name w:val="Bordered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3">
    <w:name w:val="Bordered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4">
    <w:name w:val="Bordered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5">
    <w:name w:val="Bordered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6">
    <w:name w:val="Bordered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7">
    <w:name w:val="Bordered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8">
    <w:name w:val="Hyperlink"/>
    <w:uiPriority w:val="99"/>
    <w:unhideWhenUsed/>
    <w:rPr>
      <w:color w:val="0000ff" w:themeColor="hyperlink"/>
      <w:u w:val="single"/>
    </w:rPr>
  </w:style>
  <w:style w:type="paragraph" w:styleId="819">
    <w:name w:val="footnote text"/>
    <w:basedOn w:val="836"/>
    <w:link w:val="820"/>
    <w:uiPriority w:val="99"/>
    <w:semiHidden/>
    <w:unhideWhenUsed/>
    <w:pPr>
      <w:spacing w:after="40" w:line="240" w:lineRule="auto"/>
    </w:pPr>
    <w:rPr>
      <w:sz w:val="18"/>
    </w:rPr>
  </w:style>
  <w:style w:type="character" w:styleId="820">
    <w:name w:val="Footnote Text Char"/>
    <w:link w:val="819"/>
    <w:uiPriority w:val="99"/>
    <w:rPr>
      <w:sz w:val="18"/>
    </w:rPr>
  </w:style>
  <w:style w:type="character" w:styleId="821">
    <w:name w:val="footnote reference"/>
    <w:basedOn w:val="837"/>
    <w:uiPriority w:val="99"/>
    <w:unhideWhenUsed/>
    <w:rPr>
      <w:vertAlign w:val="superscript"/>
    </w:rPr>
  </w:style>
  <w:style w:type="paragraph" w:styleId="822">
    <w:name w:val="endnote text"/>
    <w:basedOn w:val="836"/>
    <w:link w:val="823"/>
    <w:uiPriority w:val="99"/>
    <w:semiHidden/>
    <w:unhideWhenUsed/>
    <w:pPr>
      <w:spacing w:after="0" w:line="240" w:lineRule="auto"/>
    </w:pPr>
    <w:rPr>
      <w:sz w:val="20"/>
    </w:rPr>
  </w:style>
  <w:style w:type="character" w:styleId="823">
    <w:name w:val="Endnote Text Char"/>
    <w:link w:val="822"/>
    <w:uiPriority w:val="99"/>
    <w:rPr>
      <w:sz w:val="20"/>
    </w:rPr>
  </w:style>
  <w:style w:type="character" w:styleId="824">
    <w:name w:val="endnote reference"/>
    <w:basedOn w:val="837"/>
    <w:uiPriority w:val="99"/>
    <w:semiHidden/>
    <w:unhideWhenUsed/>
    <w:rPr>
      <w:vertAlign w:val="superscript"/>
    </w:rPr>
  </w:style>
  <w:style w:type="paragraph" w:styleId="825">
    <w:name w:val="toc 1"/>
    <w:basedOn w:val="836"/>
    <w:next w:val="836"/>
    <w:uiPriority w:val="39"/>
    <w:unhideWhenUsed/>
    <w:pPr>
      <w:ind w:left="0" w:right="0" w:firstLine="0"/>
      <w:spacing w:after="57"/>
    </w:pPr>
  </w:style>
  <w:style w:type="paragraph" w:styleId="826">
    <w:name w:val="toc 2"/>
    <w:basedOn w:val="836"/>
    <w:next w:val="836"/>
    <w:uiPriority w:val="39"/>
    <w:unhideWhenUsed/>
    <w:pPr>
      <w:ind w:left="283" w:right="0" w:firstLine="0"/>
      <w:spacing w:after="57"/>
    </w:pPr>
  </w:style>
  <w:style w:type="paragraph" w:styleId="827">
    <w:name w:val="toc 3"/>
    <w:basedOn w:val="836"/>
    <w:next w:val="836"/>
    <w:uiPriority w:val="39"/>
    <w:unhideWhenUsed/>
    <w:pPr>
      <w:ind w:left="567" w:right="0" w:firstLine="0"/>
      <w:spacing w:after="57"/>
    </w:pPr>
  </w:style>
  <w:style w:type="paragraph" w:styleId="828">
    <w:name w:val="toc 4"/>
    <w:basedOn w:val="836"/>
    <w:next w:val="836"/>
    <w:uiPriority w:val="39"/>
    <w:unhideWhenUsed/>
    <w:pPr>
      <w:ind w:left="850" w:right="0" w:firstLine="0"/>
      <w:spacing w:after="57"/>
    </w:pPr>
  </w:style>
  <w:style w:type="paragraph" w:styleId="829">
    <w:name w:val="toc 5"/>
    <w:basedOn w:val="836"/>
    <w:next w:val="836"/>
    <w:uiPriority w:val="39"/>
    <w:unhideWhenUsed/>
    <w:pPr>
      <w:ind w:left="1134" w:right="0" w:firstLine="0"/>
      <w:spacing w:after="57"/>
    </w:pPr>
  </w:style>
  <w:style w:type="paragraph" w:styleId="830">
    <w:name w:val="toc 6"/>
    <w:basedOn w:val="836"/>
    <w:next w:val="836"/>
    <w:uiPriority w:val="39"/>
    <w:unhideWhenUsed/>
    <w:pPr>
      <w:ind w:left="1417" w:right="0" w:firstLine="0"/>
      <w:spacing w:after="57"/>
    </w:pPr>
  </w:style>
  <w:style w:type="paragraph" w:styleId="831">
    <w:name w:val="toc 7"/>
    <w:basedOn w:val="836"/>
    <w:next w:val="836"/>
    <w:uiPriority w:val="39"/>
    <w:unhideWhenUsed/>
    <w:pPr>
      <w:ind w:left="1701" w:right="0" w:firstLine="0"/>
      <w:spacing w:after="57"/>
    </w:pPr>
  </w:style>
  <w:style w:type="paragraph" w:styleId="832">
    <w:name w:val="toc 8"/>
    <w:basedOn w:val="836"/>
    <w:next w:val="836"/>
    <w:uiPriority w:val="39"/>
    <w:unhideWhenUsed/>
    <w:pPr>
      <w:ind w:left="1984" w:right="0" w:firstLine="0"/>
      <w:spacing w:after="57"/>
    </w:pPr>
  </w:style>
  <w:style w:type="paragraph" w:styleId="833">
    <w:name w:val="toc 9"/>
    <w:basedOn w:val="836"/>
    <w:next w:val="836"/>
    <w:uiPriority w:val="39"/>
    <w:unhideWhenUsed/>
    <w:pPr>
      <w:ind w:left="2268" w:right="0" w:firstLine="0"/>
      <w:spacing w:after="57"/>
    </w:pPr>
  </w:style>
  <w:style w:type="paragraph" w:styleId="834">
    <w:name w:val="TOC Heading"/>
    <w:uiPriority w:val="39"/>
    <w:unhideWhenUsed/>
  </w:style>
  <w:style w:type="paragraph" w:styleId="835">
    <w:name w:val="table of figures"/>
    <w:basedOn w:val="836"/>
    <w:next w:val="836"/>
    <w:uiPriority w:val="99"/>
    <w:unhideWhenUsed/>
    <w:pPr>
      <w:spacing w:after="0" w:afterAutospacing="0"/>
    </w:pPr>
  </w:style>
  <w:style w:type="paragraph" w:styleId="836" w:default="1">
    <w:name w:val="Normal"/>
    <w:qFormat/>
  </w:style>
  <w:style w:type="character" w:styleId="837" w:default="1">
    <w:name w:val="Default Paragraph Font"/>
    <w:uiPriority w:val="1"/>
    <w:semiHidden/>
    <w:unhideWhenUsed/>
  </w:style>
  <w:style w:type="table" w:styleId="83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9" w:default="1">
    <w:name w:val="No List"/>
    <w:uiPriority w:val="99"/>
    <w:semiHidden/>
    <w:unhideWhenUsed/>
  </w:style>
  <w:style w:type="paragraph" w:styleId="840">
    <w:name w:val="Balloon Text"/>
    <w:basedOn w:val="836"/>
    <w:link w:val="841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41" w:customStyle="1">
    <w:name w:val="Текст выноски Знак"/>
    <w:basedOn w:val="837"/>
    <w:link w:val="840"/>
    <w:uiPriority w:val="99"/>
    <w:semiHidden/>
    <w:rPr>
      <w:rFonts w:ascii="Segoe UI" w:hAnsi="Segoe UI" w:cs="Segoe UI"/>
      <w:sz w:val="18"/>
      <w:szCs w:val="18"/>
    </w:rPr>
  </w:style>
  <w:style w:type="paragraph" w:styleId="842" w:customStyle="1">
    <w:name w:val="Standard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Andale Sans UI" w:cs="Tahom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de-DE" w:eastAsia="ja-JP" w:bidi="fa-IR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reg.samregistr.ru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revision>24</cp:revision>
  <dcterms:created xsi:type="dcterms:W3CDTF">2024-09-30T06:51:00Z</dcterms:created>
  <dcterms:modified xsi:type="dcterms:W3CDTF">2026-07-21T10:50:28Z</dcterms:modified>
</cp:coreProperties>
</file>