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22</w:t>
      </w:r>
      <w:r>
        <w:rPr>
          <w:rFonts w:ascii="Times New Roman" w:hAnsi="Times New Roman" w:cs="Times New Roman"/>
          <w:b/>
          <w:sz w:val="26"/>
          <w:szCs w:val="26"/>
        </w:rPr>
        <w:t xml:space="preserve">.06</w:t>
      </w:r>
      <w:r>
        <w:rPr>
          <w:rFonts w:ascii="Times New Roman" w:hAnsi="Times New Roman" w:cs="Times New Roman"/>
          <w:b/>
          <w:sz w:val="26"/>
          <w:szCs w:val="26"/>
        </w:rPr>
        <w:t xml:space="preserve">.2026 г.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pP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Самарский Росреестр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—</w:t>
      </w: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 о новых правилах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pP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дистанционных сделок </w:t>
      </w: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с недвижимостью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Электронные услуги Росреестра набирают обороты. Все чаще граждане пользуются удаленными способами взаимодействия с ведомством – выписки из ЕГРН, сделки, учетно-регистрационные действия.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Возможность покупать и продавать жилье в другом городе без личных поездок – один из главных плюсов электронного документооборота.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Самарский Росреестр информирует,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что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с 1 июля 2026 года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в России вступает в силу еще одно правило для сделок с недвижимостью, связанное с использованием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биометрии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Изменения внесены в ч. 6 ст. 36.2 Федерального закона от 13.07.2015 №218-ФЗ «О государственной регистрации недвижимости» на основании Федерального закона от 7 июня 2025 г. №133-ФЗ.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Если ранее, перед тем, как подать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документы физическому лицу на отчуждение объекта недвижимости в электронном виде, необходимо было представить в МФЦ заявление о внесении отметки в ЕГРН о предстоящей сделке, то теперь подтвердить личность при совершении сделок по отчуждению или прекращению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права собственности можно будет с помощью данных из Единой биометрической системы (ЕБС)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. 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Дополнительно тратить время на поход в МФЦ не нужно.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Для проведения сделки удаленно потребуются: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электронный пакет документов;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усиленная квалифицированная электронная подпись (УКЭП);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подтвержденная биометрия в ЕБС. 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  <w:t xml:space="preserve">Офлайн-сделки так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же остаются: оформить документы можно через МФЦ или нотариуса.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Однако, взаимодействуя с ведомством посредством официального сайта Росреестра, а также личного кабинета сайта Госуслуг, видны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преимущества, которые упрощают процедуру оформления документов, экономят время, ресурсы и усилия заявителей. 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Кроме того,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обращаем внимание граждан на появившуюся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с 1 марта 2025 года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возможность при обращении к кадастровому инженеру с целью подготовки документов для постановки на кадастровый учет или уточнения характеристик объекта, передавать инженеру полномочия по подаче документов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в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орган регистрации прав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без доверенности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, заключив с ним договор подряда с соответствующими полномочиями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. Тем самым, собственник освобождается от дополнительных посещений МФЦ, экономя свое время.</w:t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</w:p>
    <w:p>
      <w:pPr>
        <w:ind w:left="0" w:right="0" w:firstLine="425"/>
        <w:jc w:val="both"/>
        <w:spacing w:line="360" w:lineRule="auto"/>
        <w:shd w:val="clear" w:color="ffffff" w:fill="ffffff"/>
        <w:rPr>
          <w:rFonts w:ascii="Tinos" w:hAnsi="Tinos" w:eastAsia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Дополнительно обращаем внимание на то, что</w:t>
      </w:r>
      <w:r>
        <w:rPr>
          <w:rFonts w:ascii="Tinos" w:hAnsi="Tinos" w:eastAsia="Tinos" w:cs="Tinos"/>
          <w:color w:val="000000"/>
          <w:spacing w:val="3"/>
          <w:sz w:val="28"/>
          <w:szCs w:val="28"/>
        </w:rPr>
        <w:t xml:space="preserve"> всегда нужно соблюдать меры предосторожности: не сообщать данные третьим лицам, проверять адреса сайтов, подключать уведомления о попытках проведения сделок.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Также необходимо проверять юридическую чистоту объекта недвижимости и безопасность сделки: заказывать выписки ЕГРН, изучать историю объекта и не передавать коды доступа третьим лицам.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cs="Tinos"/>
          <w:color w:val="000000"/>
          <w:sz w:val="28"/>
          <w:szCs w:val="28"/>
        </w:rPr>
      </w:r>
      <w:r>
        <w:rPr>
          <w:rFonts w:ascii="Tinos" w:hAnsi="Tinos" w:cs="Tinos"/>
          <w:color w:val="000000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Росреестра по Самарской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Courier New">
    <w:panose1 w:val="02070409020205020404"/>
  </w:font>
  <w:font w:name="Wingdings">
    <w:panose1 w:val="05010000000000000000"/>
  </w:font>
  <w:font w:name="Liberation Sans">
    <w:panose1 w:val="020B06040202020202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z w:val="24"/>
        <w:highlight w:val="white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2"/>
    <w:next w:val="842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43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2"/>
    <w:next w:val="842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43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2"/>
    <w:next w:val="842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43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2"/>
    <w:next w:val="842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43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2"/>
    <w:next w:val="842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43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2"/>
    <w:next w:val="842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43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2"/>
    <w:next w:val="842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43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2"/>
    <w:next w:val="842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43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2"/>
    <w:next w:val="842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43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42"/>
    <w:uiPriority w:val="34"/>
    <w:qFormat/>
    <w:pPr>
      <w:contextualSpacing/>
      <w:ind w:left="720"/>
    </w:p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basedOn w:val="843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basedOn w:val="843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basedOn w:val="843"/>
    <w:link w:val="692"/>
    <w:uiPriority w:val="99"/>
  </w:style>
  <w:style w:type="paragraph" w:styleId="694">
    <w:name w:val="Footer"/>
    <w:basedOn w:val="842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basedOn w:val="843"/>
    <w:link w:val="694"/>
    <w:uiPriority w:val="99"/>
  </w:style>
  <w:style w:type="paragraph" w:styleId="696">
    <w:name w:val="Caption"/>
    <w:basedOn w:val="842"/>
    <w:next w:val="8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696"/>
    <w:link w:val="694"/>
    <w:uiPriority w:val="99"/>
  </w:style>
  <w:style w:type="table" w:styleId="698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8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9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0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1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2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3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3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>
    <w:name w:val="Balloon Text"/>
    <w:basedOn w:val="842"/>
    <w:link w:val="84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7" w:customStyle="1">
    <w:name w:val="Текст выноски Знак"/>
    <w:basedOn w:val="843"/>
    <w:link w:val="84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20</cp:revision>
  <dcterms:created xsi:type="dcterms:W3CDTF">2024-08-01T06:50:00Z</dcterms:created>
  <dcterms:modified xsi:type="dcterms:W3CDTF">2026-06-22T05:49:23Z</dcterms:modified>
</cp:coreProperties>
</file>