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28.04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Выездные семинары самарского Росреестра продолжились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в Алексеевском и Нефтегорском районах региона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shd w:val="clear" w:color="auto" w:fill="ffffff"/>
        </w:rPr>
        <w:t xml:space="preserve">       Выездные совещания рабочей группы по консультационно-методологической поддержке при участии специалистов самарского Росреестра прошли в Алексеевском и Нефтегорском районах Самарской области.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color w:val="000000"/>
          <w:spacing w:val="3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shd w:val="clear" w:color="auto" w:fill="ffffff"/>
        </w:rPr>
        <w:t xml:space="preserve">       На семинаре начальник отдела регистрации земельных участков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Павел Найдовский 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осветил 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в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ступивший в силу 1 марта 2026 г.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 Федеральный закон №295-ФЗ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. 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Закон внес изменения в Земельный кодекс РФ и другие законодательные акты, а также признал утратившими силу отдельные положения ранее действовавших норм. 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</w:r>
    </w:p>
    <w:p>
      <w:pPr>
        <w:pStyle w:val="698"/>
        <w:contextualSpacing/>
        <w:ind w:left="0" w:right="0" w:firstLine="567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</w:rPr>
        <w:t xml:space="preserve">«В Земельный кодекс введена новая глава, которая устанавливает общие положения о видах разрешенного использования земельных участков, их установлении и изменении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. – рассказал </w:t>
      </w:r>
      <w:r>
        <w:rPr>
          <w:rFonts w:ascii="Tinos" w:hAnsi="Tinos" w:eastAsia="Tinos" w:cs="Tinos"/>
          <w:b/>
          <w:bCs/>
          <w:color w:val="000000"/>
          <w:spacing w:val="3"/>
          <w:sz w:val="28"/>
          <w:szCs w:val="28"/>
        </w:rPr>
        <w:t xml:space="preserve">Павел Найдовский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. - </w:t>
      </w:r>
      <w:r>
        <w:rPr>
          <w:rFonts w:ascii="Tinos" w:hAnsi="Tinos" w:eastAsia="Tinos" w:cs="Tinos"/>
          <w:b w:val="0"/>
          <w:bCs w:val="0"/>
          <w:i/>
          <w:iCs/>
          <w:color w:val="000000"/>
          <w:spacing w:val="3"/>
          <w:sz w:val="28"/>
          <w:szCs w:val="28"/>
        </w:rPr>
        <w:t xml:space="preserve">Виды разрешенного использования определяются в соответствии с классификатором, утвержденным федеральным органом исполнительной власти, градостроительным регламентом, лесохозяйственным регламентом и положением об особо охраняемой природной территории.</w:t>
      </w:r>
      <w:r>
        <w:rPr>
          <w:rFonts w:ascii="Tinos" w:hAnsi="Tinos" w:eastAsia="Tinos" w:cs="Tinos"/>
          <w:b w:val="0"/>
          <w:bCs w:val="0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000000"/>
          <w:spacing w:val="3"/>
          <w:sz w:val="28"/>
          <w:szCs w:val="28"/>
        </w:rPr>
        <w:t xml:space="preserve">Виды разрешенного использования можно определять на основании документации по планировке территории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</w:rPr>
        <w:t xml:space="preserve">».</w:t>
      </w:r>
      <w:r>
        <w:rPr>
          <w:rFonts w:ascii="Tinos" w:hAnsi="Tinos" w:eastAsia="Tinos" w:cs="Tinos"/>
          <w:color w:val="000000"/>
          <w:spacing w:val="3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98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shd w:val="clear" w:color="auto" w:fill="ffffff"/>
        </w:rPr>
        <w:t xml:space="preserve">       Начальник отдела регистрации недвижимости в электронном виде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Дмитрий Кожевников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рассказал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представителям предпринимательского сообщества об использовании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Машиночитаемой доверенности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(МЧД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). Этот электронный документ в формате XML необходим, чтобы подтверждать полномочия представителя юридического лица во взаимодействии с Росреестром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.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  <w:highlight w:val="whit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45</cp:revision>
  <dcterms:created xsi:type="dcterms:W3CDTF">2023-09-10T13:11:00Z</dcterms:created>
  <dcterms:modified xsi:type="dcterms:W3CDTF">2026-04-28T05:22:34Z</dcterms:modified>
</cp:coreProperties>
</file>