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30.03.</w:t>
      </w:r>
      <w:r>
        <w:rPr>
          <w:rFonts w:ascii="Times New Roman" w:hAnsi="Times New Roman" w:cs="Times New Roman"/>
          <w:b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 1 марта вступил в силу закон об изменении видов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87"/>
        <w:ind w:firstLine="708"/>
        <w:jc w:val="center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разрешенного использования земель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687"/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о инициативе 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Росреестр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а в 2025 году принято </w:t>
      </w:r>
      <w:r>
        <w:rPr>
          <w:rFonts w:ascii="Tinos" w:hAnsi="Tinos" w:eastAsia="Tinos" w:cs="Tinos"/>
          <w:b/>
          <w:bCs/>
          <w:color w:val="2c2d2e"/>
          <w:sz w:val="28"/>
          <w:szCs w:val="28"/>
          <w:highlight w:val="white"/>
        </w:rPr>
        <w:t xml:space="preserve">12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федеральных законов, а с 2020 года – </w:t>
      </w:r>
      <w:r>
        <w:rPr>
          <w:rFonts w:ascii="Tinos" w:hAnsi="Tinos" w:eastAsia="Tinos" w:cs="Tinos"/>
          <w:b/>
          <w:bCs/>
          <w:color w:val="2c2d2e"/>
          <w:sz w:val="28"/>
          <w:szCs w:val="28"/>
          <w:highlight w:val="white"/>
        </w:rPr>
        <w:t xml:space="preserve">98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 В том числе, с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1 марта 2026 года вступил в силу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Федеральный зако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н № 295-ФЗ от 31.07.2025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, который регламентирует вопросы установления видов разрешенного использования земельных участков и порядок их предоста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вления.</w:t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Виды разрешенного использования земельных участков, установленные до 1 марта 2026 года, остаются действительными, а также сохраняется общий подход к определению видов разрешенного использования на основные, вспомогательные и условно разрешенные.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Основные и 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вспомогательные виды разрешенного использования участков смогут выбирать самостоятельно - без дополнительных разрешений и согласования. 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В отдельных случаях допускается менять виды разрешенного использования образуемых земельных участков </w:t>
      </w:r>
      <w:r>
        <w:rPr>
          <w:rFonts w:ascii="Tinos" w:hAnsi="Tinos" w:eastAsia="Tinos" w:cs="Tinos"/>
          <w:i/>
          <w:iCs/>
          <w:color w:val="2c2d2e"/>
          <w:sz w:val="28"/>
          <w:szCs w:val="28"/>
          <w:highlight w:val="white"/>
        </w:rPr>
        <w:t xml:space="preserve">(например, при разделе земельного участка, исходный вид разрешенного испо</w:t>
      </w:r>
      <w:r>
        <w:rPr>
          <w:rFonts w:ascii="Tinos" w:hAnsi="Tinos" w:eastAsia="Tinos" w:cs="Tinos"/>
          <w:i/>
          <w:iCs/>
          <w:color w:val="2c2d2e"/>
          <w:sz w:val="28"/>
          <w:szCs w:val="28"/>
          <w:highlight w:val="white"/>
        </w:rPr>
        <w:t xml:space="preserve">льзования которого не соответствует градостроительному регламенту)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Для правообладателей участков, находящихся в государственной или муниципальной собственности, которым такой участок предоставлен в аренду или безвозмездное пользование, вводится </w:t>
      </w:r>
      <w:r>
        <w:rPr>
          <w:rFonts w:ascii="Tinos" w:hAnsi="Tinos" w:eastAsia="Tinos" w:cs="Tinos"/>
          <w:b/>
          <w:bCs/>
          <w:color w:val="2c2d2e"/>
          <w:sz w:val="28"/>
          <w:szCs w:val="28"/>
          <w:highlight w:val="white"/>
        </w:rPr>
        <w:t xml:space="preserve">запрет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на изменение вида разрешенного использования - вне зависимости от поряд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ка предоставления такого участка. </w:t>
      </w:r>
      <w:r>
        <w:rPr>
          <w:rFonts w:ascii="Tinos" w:hAnsi="Tinos" w:eastAsia="Tinos" w:cs="Tinos"/>
          <w:b/>
          <w:bCs/>
          <w:color w:val="2c2d2e"/>
          <w:sz w:val="28"/>
          <w:szCs w:val="28"/>
          <w:highlight w:val="white"/>
        </w:rPr>
        <w:t xml:space="preserve">Исключение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– если земельный участок используется для </w:t>
      </w:r>
      <w:r>
        <w:rPr>
          <w:rFonts w:ascii="Tinos" w:hAnsi="Tinos" w:eastAsia="Tinos" w:cs="Tinos"/>
          <w:b/>
          <w:bCs/>
          <w:color w:val="2c2d2e"/>
          <w:sz w:val="28"/>
          <w:szCs w:val="28"/>
          <w:highlight w:val="white"/>
        </w:rPr>
        <w:t xml:space="preserve">комплексного развития территории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Если участок из состава земель сельхозназначения отнесён к сельскохозяйственным угодьям, его вид разрешенного использования можно изме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нить на основании решения органа власти субъекта РФ. Раньше изменить вид разрешенного использования таких участков было невозможно. 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Также предусмотрена возможность, когда заинтересованное лицо вправе инициировать проведение аукциона в границах населенного пункта </w:t>
      </w:r>
      <w:r>
        <w:rPr>
          <w:rFonts w:ascii="Tinos" w:hAnsi="Tinos" w:eastAsia="Tinos" w:cs="Tinos"/>
          <w:i/>
          <w:iCs/>
          <w:color w:val="2c2d2e"/>
          <w:sz w:val="28"/>
          <w:szCs w:val="28"/>
          <w:highlight w:val="white"/>
        </w:rPr>
        <w:t xml:space="preserve">(ранее такого не было)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 При этом орган власти должен выставить земельный участок на аукцион с те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м видом разрешенного использования, который просит инициатор аукциона.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Если земельный участок в соответствии с утвержденной документацией по планировке территории расположен в границах зоны планируемого размещения объекта публичного значения, то правообла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датель такого участка может выбирать только тот вид разрешенного использования, который предусматривает размещение такого объекта. При этом с 1 марта 2026 года включать в границы зон планируемого размещения объектов публичного значения земельные участки, п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ринадлежащие гражданам или юридическим лицам, не допускается. Исключения из этого правила установлены Градостроительным кодексом </w:t>
      </w:r>
      <w:r>
        <w:rPr>
          <w:rFonts w:ascii="Tinos" w:hAnsi="Tinos" w:eastAsia="Tinos" w:cs="Tinos"/>
          <w:i/>
          <w:iCs/>
          <w:color w:val="2c2d2e"/>
          <w:sz w:val="28"/>
          <w:szCs w:val="28"/>
          <w:highlight w:val="white"/>
        </w:rPr>
        <w:t xml:space="preserve">(изъятие, публичный сервитут, согласие правообладателя)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none"/>
        </w:rPr>
        <w:t xml:space="preserve">Кроме того, </w:t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  <w:t xml:space="preserve">з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акон уточняет установленный Федеральным законом № 217-ФЗ запрет на изменение вида разрешенного использования отдельных садовых и огородных земельных участков в границах территории садоводства или огородничества. В частности, теперь запрет распространяется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на все садовые и огородные земельные участки вне зависимости от того, были они образованы до или после вступления в силу Закона № 217-ФЗ.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Назначение садовых участков можно будет поменять в случае, если садоводы решат изменить вид деятельности на товарище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ство собственников, либо, если такие участки нужны для государственных или муниципальных нужд.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Новый закон дает возможность снизить количество споров, всевозможных сложностей для граждан, застройщиков и органов власти в сфере земельных отношений и градостроительства.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Его цель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-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вовлечение земельных участков в гражданский оборот и сокращение инвестиционно-строительного цикла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Arial" w:hAnsi="Arial" w:eastAsia="Arial" w:cs="Arial"/>
          <w:sz w:val="23"/>
          <w:szCs w:val="23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  <w:t xml:space="preserve">Об этом сообщается в канале самарского Росреестра в МАХ: </w:t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  <w:r/>
      <w:r/>
      <w:hyperlink r:id="rId10" w:tooltip="https://max.ru/id6317053595_gos/AZ09jHe2EFw" w:history="1">
        <w:r>
          <w:rPr>
            <w:rStyle w:val="828"/>
            <w:rFonts w:ascii="Arial" w:hAnsi="Arial" w:eastAsia="Arial" w:cs="Arial"/>
            <w:color w:val="2c2d2e"/>
            <w:sz w:val="23"/>
            <w:u w:val="none"/>
          </w:rPr>
          <w:t xml:space="preserve">https://max.ru/id6317053595_gos/AZ09jHe2EFw</w:t>
        </w:r>
      </w:hyperlink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nos" w:hAnsi="Tinos" w:eastAsia="Tinos" w:cs="Tinos"/>
          <w:color w:val="2c2d2e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Материал подготовлен Управлением 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Росреестра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92c2f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92c2f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92c2f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92c2f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92c2f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92c2f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92c2f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92c2f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92c2f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max.ru/id6317053595_gos/AZ09jHe2EFw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22</cp:revision>
  <dcterms:created xsi:type="dcterms:W3CDTF">2024-06-20T09:57:00Z</dcterms:created>
  <dcterms:modified xsi:type="dcterms:W3CDTF">2026-03-30T08:06:06Z</dcterms:modified>
</cp:coreProperties>
</file>