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E203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01657A7D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D18C861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2ACC0935" w14:textId="77777777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089FEAB" w14:textId="77777777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78FBE875" w14:textId="1C68F78F"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074C87">
        <w:rPr>
          <w:sz w:val="32"/>
          <w:szCs w:val="32"/>
        </w:rPr>
        <w:t>ПРОЕКТ</w:t>
      </w:r>
    </w:p>
    <w:p w14:paraId="7311BC2C" w14:textId="51374CC6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</w:t>
      </w:r>
      <w:r w:rsidR="00074C87">
        <w:rPr>
          <w:sz w:val="26"/>
          <w:szCs w:val="26"/>
        </w:rPr>
        <w:t xml:space="preserve">                  </w:t>
      </w:r>
      <w:r w:rsidR="007E0B38">
        <w:rPr>
          <w:sz w:val="26"/>
          <w:szCs w:val="26"/>
        </w:rPr>
        <w:t xml:space="preserve"> 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  <w:r w:rsidR="00074C87">
        <w:rPr>
          <w:sz w:val="26"/>
          <w:szCs w:val="26"/>
        </w:rPr>
        <w:t xml:space="preserve"> </w:t>
      </w:r>
    </w:p>
    <w:p w14:paraId="0A6CE4F1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0E9795E5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69EA3C7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85E2956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7F64BC74" w14:textId="77777777"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14:paraId="1EFDEA07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0E07D521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5D880A82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7080DEB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1B0AD168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09103EE1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4F48E4C6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3A7D721F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798FE23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1FE5E804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5202B67F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4D200632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09A80C2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24A6F17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D7B36E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1C3C0D35" w14:textId="77777777" w:rsidTr="00AB2DC2">
        <w:tc>
          <w:tcPr>
            <w:tcW w:w="5954" w:type="dxa"/>
            <w:shd w:val="clear" w:color="auto" w:fill="auto"/>
            <w:vAlign w:val="center"/>
          </w:tcPr>
          <w:p w14:paraId="330B38B0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08A747B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A36387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2E31E0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6D371E3" w14:textId="77777777" w:rsidR="00CA79AE" w:rsidRDefault="00CA79AE" w:rsidP="00AB2DC2">
      <w:pPr>
        <w:rPr>
          <w:sz w:val="24"/>
          <w:szCs w:val="24"/>
        </w:rPr>
      </w:pPr>
    </w:p>
    <w:p w14:paraId="38C4DDD1" w14:textId="77777777" w:rsidR="00CA79AE" w:rsidRDefault="00CA79AE" w:rsidP="00AB2DC2">
      <w:pPr>
        <w:rPr>
          <w:sz w:val="24"/>
          <w:szCs w:val="24"/>
        </w:rPr>
      </w:pPr>
    </w:p>
    <w:p w14:paraId="737E7849" w14:textId="77777777" w:rsidR="00CA79AE" w:rsidRDefault="00CA79AE" w:rsidP="00AB2DC2">
      <w:pPr>
        <w:rPr>
          <w:sz w:val="24"/>
          <w:szCs w:val="24"/>
        </w:rPr>
      </w:pPr>
    </w:p>
    <w:p w14:paraId="55D96ECC" w14:textId="77777777" w:rsidR="00CA79AE" w:rsidRDefault="00CA79AE" w:rsidP="00AB2DC2">
      <w:pPr>
        <w:rPr>
          <w:sz w:val="24"/>
          <w:szCs w:val="24"/>
        </w:rPr>
      </w:pPr>
    </w:p>
    <w:p w14:paraId="117C5FB4" w14:textId="77777777" w:rsidR="00CA79AE" w:rsidRDefault="00CA79AE" w:rsidP="00AB2DC2">
      <w:pPr>
        <w:rPr>
          <w:sz w:val="24"/>
          <w:szCs w:val="24"/>
        </w:rPr>
      </w:pPr>
    </w:p>
    <w:p w14:paraId="6B703CD4" w14:textId="77777777" w:rsidR="00CA79AE" w:rsidRDefault="00CA79AE" w:rsidP="00AB2DC2">
      <w:pPr>
        <w:rPr>
          <w:sz w:val="24"/>
          <w:szCs w:val="24"/>
        </w:rPr>
      </w:pPr>
    </w:p>
    <w:p w14:paraId="4BDA72F2" w14:textId="77777777" w:rsidR="00CA79AE" w:rsidRDefault="00CA79AE" w:rsidP="00AB2DC2">
      <w:pPr>
        <w:rPr>
          <w:sz w:val="24"/>
          <w:szCs w:val="24"/>
        </w:rPr>
      </w:pPr>
    </w:p>
    <w:p w14:paraId="16789757" w14:textId="77777777" w:rsidR="00CA79AE" w:rsidRDefault="00CA79AE" w:rsidP="00AB2DC2">
      <w:pPr>
        <w:rPr>
          <w:sz w:val="24"/>
          <w:szCs w:val="24"/>
        </w:rPr>
      </w:pPr>
    </w:p>
    <w:p w14:paraId="2B52ADE3" w14:textId="77777777" w:rsidR="00CA79AE" w:rsidRDefault="00CA79AE" w:rsidP="00AB2DC2">
      <w:pPr>
        <w:rPr>
          <w:sz w:val="24"/>
          <w:szCs w:val="24"/>
        </w:rPr>
      </w:pPr>
    </w:p>
    <w:p w14:paraId="1DE5A9AB" w14:textId="77777777" w:rsidR="00F25FC9" w:rsidRDefault="00F25FC9" w:rsidP="00AB2DC2">
      <w:pPr>
        <w:rPr>
          <w:sz w:val="24"/>
          <w:szCs w:val="24"/>
        </w:rPr>
      </w:pPr>
    </w:p>
    <w:p w14:paraId="0EAAD48C" w14:textId="77777777" w:rsidR="00F25FC9" w:rsidRDefault="00F25FC9" w:rsidP="00AB2DC2">
      <w:pPr>
        <w:rPr>
          <w:sz w:val="24"/>
          <w:szCs w:val="24"/>
        </w:rPr>
      </w:pPr>
    </w:p>
    <w:p w14:paraId="4AA8C704" w14:textId="77777777" w:rsidR="00F25FC9" w:rsidRDefault="00F25FC9" w:rsidP="00AB2DC2">
      <w:pPr>
        <w:rPr>
          <w:sz w:val="24"/>
          <w:szCs w:val="24"/>
        </w:rPr>
      </w:pPr>
    </w:p>
    <w:p w14:paraId="47E7BB38" w14:textId="77777777" w:rsidR="00F25FC9" w:rsidRDefault="00F25FC9" w:rsidP="00AB2DC2">
      <w:pPr>
        <w:rPr>
          <w:sz w:val="24"/>
          <w:szCs w:val="24"/>
        </w:rPr>
      </w:pPr>
    </w:p>
    <w:p w14:paraId="20063A39" w14:textId="77777777" w:rsidR="00CA79AE" w:rsidRDefault="00CA79AE" w:rsidP="00AB2DC2">
      <w:pPr>
        <w:rPr>
          <w:sz w:val="24"/>
          <w:szCs w:val="24"/>
        </w:rPr>
      </w:pPr>
    </w:p>
    <w:p w14:paraId="29F45F3F" w14:textId="77777777" w:rsidR="00D81C42" w:rsidRDefault="00D81C42" w:rsidP="00AB2DC2">
      <w:pPr>
        <w:rPr>
          <w:sz w:val="24"/>
          <w:szCs w:val="24"/>
        </w:rPr>
      </w:pPr>
    </w:p>
    <w:p w14:paraId="1EF6B2C1" w14:textId="77777777" w:rsidR="00D81C42" w:rsidRDefault="00D81C42" w:rsidP="00AB2DC2">
      <w:pPr>
        <w:rPr>
          <w:sz w:val="24"/>
          <w:szCs w:val="24"/>
        </w:rPr>
      </w:pPr>
    </w:p>
    <w:p w14:paraId="24CB5275" w14:textId="77777777" w:rsidR="00B7200E" w:rsidRDefault="00B7200E" w:rsidP="00AB2DC2">
      <w:pPr>
        <w:rPr>
          <w:sz w:val="24"/>
          <w:szCs w:val="24"/>
        </w:rPr>
      </w:pPr>
    </w:p>
    <w:p w14:paraId="793458CC" w14:textId="77777777" w:rsidR="00D81C42" w:rsidRDefault="00D81C42" w:rsidP="00AB2DC2">
      <w:pPr>
        <w:rPr>
          <w:sz w:val="24"/>
          <w:szCs w:val="24"/>
        </w:rPr>
      </w:pPr>
    </w:p>
    <w:p w14:paraId="683F7D46" w14:textId="77777777" w:rsidR="00D81C42" w:rsidRDefault="00D81C42" w:rsidP="00AB2DC2">
      <w:pPr>
        <w:rPr>
          <w:sz w:val="24"/>
          <w:szCs w:val="24"/>
        </w:rPr>
      </w:pPr>
    </w:p>
    <w:p w14:paraId="66B5C74F" w14:textId="77777777" w:rsidR="00CA79AE" w:rsidRDefault="00CA79AE" w:rsidP="00AB2DC2">
      <w:pPr>
        <w:rPr>
          <w:sz w:val="24"/>
          <w:szCs w:val="24"/>
        </w:rPr>
      </w:pPr>
    </w:p>
    <w:p w14:paraId="66AC1C94" w14:textId="77777777" w:rsidR="00A269E2" w:rsidRDefault="00A269E2" w:rsidP="00AB2DC2">
      <w:pPr>
        <w:rPr>
          <w:sz w:val="24"/>
          <w:szCs w:val="24"/>
        </w:rPr>
      </w:pPr>
    </w:p>
    <w:p w14:paraId="73D155C5" w14:textId="77777777" w:rsidR="00A269E2" w:rsidRDefault="00A269E2" w:rsidP="00AB2DC2">
      <w:pPr>
        <w:rPr>
          <w:sz w:val="24"/>
          <w:szCs w:val="24"/>
        </w:rPr>
      </w:pPr>
    </w:p>
    <w:p w14:paraId="40D45802" w14:textId="77777777" w:rsidR="00CA79AE" w:rsidRDefault="00CA79AE" w:rsidP="00AB2DC2">
      <w:pPr>
        <w:rPr>
          <w:sz w:val="24"/>
          <w:szCs w:val="24"/>
        </w:rPr>
      </w:pPr>
    </w:p>
    <w:p w14:paraId="2D411EDE" w14:textId="0643348D" w:rsidR="00EE6228" w:rsidRDefault="00B7200E" w:rsidP="00AB2D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Васюк</w:t>
      </w:r>
      <w:proofErr w:type="spellEnd"/>
      <w:r w:rsidR="00A959CC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A959CC">
        <w:rPr>
          <w:sz w:val="24"/>
          <w:szCs w:val="24"/>
        </w:rPr>
        <w:t>.А</w:t>
      </w:r>
      <w:r w:rsidR="00CA79AE">
        <w:rPr>
          <w:sz w:val="24"/>
          <w:szCs w:val="24"/>
        </w:rPr>
        <w:t>. 8-84663-21333</w:t>
      </w:r>
    </w:p>
    <w:p w14:paraId="3649F1D5" w14:textId="77777777" w:rsidR="00EE6228" w:rsidRPr="00EC0332" w:rsidRDefault="00EE6228" w:rsidP="00AB2DC2">
      <w:pPr>
        <w:rPr>
          <w:sz w:val="24"/>
          <w:szCs w:val="24"/>
        </w:rPr>
      </w:pPr>
    </w:p>
    <w:p w14:paraId="4DCF4149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6A5ECCE" w14:textId="77777777" w:rsidTr="006A6C39">
        <w:tc>
          <w:tcPr>
            <w:tcW w:w="4360" w:type="dxa"/>
            <w:shd w:val="clear" w:color="auto" w:fill="auto"/>
            <w:vAlign w:val="center"/>
          </w:tcPr>
          <w:p w14:paraId="23085D3F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12EDF78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E3EC8D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59ACD506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567521FE" w14:textId="0D3AB507" w:rsidR="00CB062E" w:rsidRPr="00CB062E" w:rsidRDefault="00CB062E" w:rsidP="00074C87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074C87">
              <w:rPr>
                <w:sz w:val="28"/>
                <w:lang w:eastAsia="ar-SA"/>
              </w:rPr>
              <w:t xml:space="preserve">                      </w:t>
            </w:r>
            <w:r w:rsidR="005B5AF2">
              <w:rPr>
                <w:sz w:val="28"/>
                <w:lang w:eastAsia="ar-SA"/>
              </w:rPr>
              <w:t xml:space="preserve">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7E0B38">
              <w:rPr>
                <w:sz w:val="28"/>
                <w:lang w:eastAsia="ar-SA"/>
              </w:rPr>
              <w:t xml:space="preserve"> </w:t>
            </w:r>
            <w:r w:rsidR="00074C87">
              <w:rPr>
                <w:sz w:val="28"/>
                <w:lang w:eastAsia="ar-SA"/>
              </w:rPr>
              <w:t xml:space="preserve">            </w:t>
            </w:r>
          </w:p>
        </w:tc>
      </w:tr>
    </w:tbl>
    <w:p w14:paraId="067A8B6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2641DB56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47883694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4FA2986B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2BBE13BE" w14:textId="77777777" w:rsidR="009C273F" w:rsidRPr="00D81C42" w:rsidRDefault="009C273F" w:rsidP="009C273F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p w14:paraId="360835D1" w14:textId="77777777" w:rsidR="009C273F" w:rsidRDefault="009C273F" w:rsidP="009C273F">
      <w:pPr>
        <w:suppressAutoHyphens/>
        <w:ind w:right="70"/>
        <w:jc w:val="center"/>
        <w:rPr>
          <w:bCs/>
          <w:sz w:val="28"/>
          <w:szCs w:val="28"/>
          <w:lang w:eastAsia="ar-SA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14:paraId="26C889AB" w14:textId="77777777" w:rsidTr="00982E65">
        <w:tc>
          <w:tcPr>
            <w:tcW w:w="2977" w:type="dxa"/>
          </w:tcPr>
          <w:p w14:paraId="74056BF0" w14:textId="77777777"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14:paraId="0F0ACE4D" w14:textId="30B5A3DE" w:rsidR="00794E15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22</w:t>
            </w:r>
            <w:r w:rsidR="002A63F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2A63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69,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</w:t>
            </w:r>
            <w:r w:rsidR="005A20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</w:t>
            </w:r>
            <w:r w:rsidRPr="00794E15">
              <w:rPr>
                <w:sz w:val="28"/>
                <w:szCs w:val="28"/>
              </w:rPr>
              <w:t>4</w:t>
            </w:r>
            <w:r w:rsidR="002A63F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4</w:t>
            </w:r>
            <w:r w:rsidRPr="00794E15">
              <w:rPr>
                <w:sz w:val="28"/>
                <w:szCs w:val="28"/>
              </w:rPr>
              <w:t>44,</w:t>
            </w:r>
            <w:r>
              <w:rPr>
                <w:sz w:val="28"/>
                <w:szCs w:val="28"/>
              </w:rPr>
              <w:t>9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2C991A0B" w14:textId="77777777" w:rsidR="00794E15" w:rsidRPr="00344910" w:rsidRDefault="00794E15" w:rsidP="00982E65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 w:rsidR="002A63FB">
              <w:rPr>
                <w:sz w:val="28"/>
                <w:szCs w:val="28"/>
              </w:rPr>
              <w:t>10 4</w:t>
            </w:r>
            <w:r>
              <w:rPr>
                <w:sz w:val="28"/>
                <w:szCs w:val="28"/>
              </w:rPr>
              <w:t xml:space="preserve">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0888E912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07621F8D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A6106B0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74A7D0E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3 02</w:t>
            </w:r>
            <w:r>
              <w:rPr>
                <w:sz w:val="28"/>
                <w:szCs w:val="28"/>
              </w:rPr>
              <w:t>8,9</w:t>
            </w:r>
            <w:r w:rsidR="000473BD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FAC6A3C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4746C11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162B413" w14:textId="3C267929" w:rsidR="00794E15" w:rsidRPr="00344910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218 978,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32A305F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332865AA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2FD1068C" w14:textId="47F511D5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</w:t>
            </w:r>
            <w:r w:rsidR="005A20AD">
              <w:rPr>
                <w:sz w:val="28"/>
                <w:szCs w:val="28"/>
              </w:rPr>
              <w:t>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00F4EFE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4FA3DF29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5CB4FFDC" w14:textId="77777777" w:rsidR="00794E15" w:rsidRPr="00BC7981" w:rsidRDefault="00794E15" w:rsidP="00982E65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76562A6D" w14:textId="77777777"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14:paraId="62A69879" w14:textId="77777777"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Кинельский» на 2023-202</w:t>
      </w:r>
      <w:r w:rsidR="00794E15">
        <w:rPr>
          <w:sz w:val="28"/>
          <w:szCs w:val="28"/>
        </w:rPr>
        <w:t>8</w:t>
      </w:r>
      <w:r w:rsidRPr="00A94106">
        <w:rPr>
          <w:sz w:val="28"/>
          <w:szCs w:val="28"/>
        </w:rPr>
        <w:t xml:space="preserve">годы»» изложить в следующей редакции: </w:t>
      </w:r>
    </w:p>
    <w:tbl>
      <w:tblPr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794E15" w:rsidRPr="00F462FF" w14:paraId="3CCC48BC" w14:textId="77777777" w:rsidTr="00794E15">
        <w:trPr>
          <w:gridAfter w:val="2"/>
          <w:wAfter w:w="491" w:type="dxa"/>
          <w:trHeight w:val="57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3F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ED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Наименование цели, задачи и целевого индикатора (</w:t>
            </w:r>
            <w:proofErr w:type="gramStart"/>
            <w:r w:rsidRPr="009254B4">
              <w:rPr>
                <w:color w:val="000000"/>
              </w:rPr>
              <w:t xml:space="preserve">показателя)  </w:t>
            </w:r>
            <w:proofErr w:type="gramEnd"/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C6E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A76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3D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68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794E15" w:rsidRPr="00F462FF" w14:paraId="6E4F2720" w14:textId="77777777" w:rsidTr="00794E15">
        <w:trPr>
          <w:gridAfter w:val="2"/>
          <w:wAfter w:w="491" w:type="dxa"/>
          <w:trHeight w:val="62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FE7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EF5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62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3C1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65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70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FF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6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1C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EA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43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794E15" w:rsidRPr="00F462FF" w14:paraId="39C733FD" w14:textId="77777777" w:rsidTr="00794E15">
        <w:trPr>
          <w:gridAfter w:val="2"/>
          <w:wAfter w:w="491" w:type="dxa"/>
          <w:trHeight w:val="630"/>
          <w:jc w:val="center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746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794E15" w:rsidRPr="00F462FF" w14:paraId="02A0E416" w14:textId="77777777" w:rsidTr="00794E15">
        <w:trPr>
          <w:trHeight w:val="290"/>
          <w:jc w:val="center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89E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8B7" w14:textId="77777777" w:rsidR="00794E15" w:rsidRPr="009254B4" w:rsidRDefault="00794E15" w:rsidP="00982E65">
            <w:pPr>
              <w:rPr>
                <w:color w:val="000000"/>
              </w:rPr>
            </w:pPr>
          </w:p>
        </w:tc>
      </w:tr>
      <w:tr w:rsidR="00794E15" w:rsidRPr="00F462FF" w14:paraId="1A1B6A5E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05A" w14:textId="77777777" w:rsidR="00794E15" w:rsidRPr="009254B4" w:rsidRDefault="00794E15" w:rsidP="00982E65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465DDE06" w14:textId="77777777" w:rsidR="00794E15" w:rsidRPr="009254B4" w:rsidRDefault="00794E15" w:rsidP="00982E65"/>
        </w:tc>
      </w:tr>
      <w:tr w:rsidR="00794E15" w:rsidRPr="00F462FF" w14:paraId="058A61C3" w14:textId="77777777" w:rsidTr="00794E15">
        <w:trPr>
          <w:gridAfter w:val="1"/>
          <w:wAfter w:w="77" w:type="dxa"/>
          <w:trHeight w:val="15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7F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575" w14:textId="77777777" w:rsidR="00794E15" w:rsidRPr="009254B4" w:rsidRDefault="00794E15" w:rsidP="00982E65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D7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7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C3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7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45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5D9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70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C3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D7A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79F34AD2" w14:textId="77777777" w:rsidR="00794E15" w:rsidRPr="009254B4" w:rsidRDefault="00794E15" w:rsidP="00982E65"/>
        </w:tc>
      </w:tr>
      <w:tr w:rsidR="00794E15" w:rsidRPr="00F462FF" w14:paraId="4657D3BB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38E7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16F4BF33" w14:textId="77777777" w:rsidR="00794E15" w:rsidRPr="009254B4" w:rsidRDefault="00794E15" w:rsidP="00982E65"/>
        </w:tc>
      </w:tr>
      <w:tr w:rsidR="00794E15" w:rsidRPr="00F462FF" w14:paraId="1DED450E" w14:textId="77777777" w:rsidTr="00794E15">
        <w:trPr>
          <w:gridAfter w:val="1"/>
          <w:wAfter w:w="77" w:type="dxa"/>
          <w:trHeight w:val="620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C5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D95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D8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14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0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E5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C1D" w14:textId="77777777" w:rsidR="00794E15" w:rsidRPr="009254B4" w:rsidRDefault="00794E15" w:rsidP="00794E1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17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0CA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1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09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29EC679B" w14:textId="77777777" w:rsidR="00794E15" w:rsidRDefault="00794E15" w:rsidP="00982E65"/>
          <w:p w14:paraId="6D4F7FF8" w14:textId="77777777" w:rsidR="00794E15" w:rsidRPr="009254B4" w:rsidRDefault="00794E15" w:rsidP="00982E65"/>
        </w:tc>
      </w:tr>
    </w:tbl>
    <w:p w14:paraId="327EFC95" w14:textId="77777777"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14:paraId="4CACB971" w14:textId="77777777"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195311AC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0473BD" w:rsidRPr="009254B4" w14:paraId="6185CB71" w14:textId="77777777" w:rsidTr="00982E65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22D9C35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286C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C506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9A6B4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011706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18113C4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842B0C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0473BD" w:rsidRPr="009254B4" w14:paraId="536D10A8" w14:textId="77777777" w:rsidTr="00982E65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64DA8A83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F00A2F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46790D1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CF6FA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19E76DC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E6A58C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0DDD2E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48F1536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6D1A05B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1A5B03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30A79E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DE148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5D38499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</w:tr>
      <w:tr w:rsidR="000473BD" w:rsidRPr="009254B4" w14:paraId="66BACD7B" w14:textId="77777777" w:rsidTr="00982E65">
        <w:trPr>
          <w:trHeight w:val="4324"/>
        </w:trPr>
        <w:tc>
          <w:tcPr>
            <w:tcW w:w="425" w:type="dxa"/>
            <w:shd w:val="clear" w:color="auto" w:fill="auto"/>
          </w:tcPr>
          <w:p w14:paraId="1A24EA34" w14:textId="77777777" w:rsidR="000473BD" w:rsidRPr="009254B4" w:rsidRDefault="000473BD" w:rsidP="00982E65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1539995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5DBB9CC1" w14:textId="77777777" w:rsidR="000473BD" w:rsidRPr="009254B4" w:rsidRDefault="000473BD" w:rsidP="00982E65">
            <w:pPr>
              <w:jc w:val="both"/>
            </w:pPr>
          </w:p>
          <w:p w14:paraId="01797A46" w14:textId="77777777" w:rsidR="000473BD" w:rsidRPr="009254B4" w:rsidRDefault="000473BD" w:rsidP="00982E65">
            <w:pPr>
              <w:jc w:val="both"/>
            </w:pPr>
          </w:p>
          <w:p w14:paraId="2C5480F5" w14:textId="77777777" w:rsidR="000473BD" w:rsidRPr="009254B4" w:rsidRDefault="000473BD" w:rsidP="00982E65">
            <w:pPr>
              <w:jc w:val="both"/>
            </w:pPr>
          </w:p>
          <w:p w14:paraId="40E41351" w14:textId="77777777" w:rsidR="000473BD" w:rsidRPr="009254B4" w:rsidRDefault="000473BD" w:rsidP="00982E65">
            <w:pPr>
              <w:jc w:val="both"/>
            </w:pPr>
          </w:p>
          <w:p w14:paraId="08C5E761" w14:textId="77777777" w:rsidR="000473BD" w:rsidRPr="009254B4" w:rsidRDefault="000473BD" w:rsidP="00982E6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2B4A210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5E294A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706E064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7F41821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A4E7C55" w14:textId="77777777" w:rsidR="000473BD" w:rsidRPr="009254B4" w:rsidRDefault="000473BD" w:rsidP="00982E65"/>
          <w:p w14:paraId="3004BA9F" w14:textId="77777777" w:rsidR="000473BD" w:rsidRPr="009254B4" w:rsidRDefault="000473BD" w:rsidP="00982E65"/>
          <w:p w14:paraId="40783569" w14:textId="77777777" w:rsidR="000473BD" w:rsidRPr="009254B4" w:rsidRDefault="000473BD" w:rsidP="00982E65"/>
          <w:p w14:paraId="5EA5DA34" w14:textId="77777777" w:rsidR="000473BD" w:rsidRPr="009254B4" w:rsidRDefault="000473BD" w:rsidP="00982E65"/>
          <w:p w14:paraId="1BB0EDA9" w14:textId="77777777" w:rsidR="000473BD" w:rsidRPr="009254B4" w:rsidRDefault="000473BD" w:rsidP="00982E65"/>
          <w:p w14:paraId="6D9A2E07" w14:textId="77777777" w:rsidR="000473BD" w:rsidRPr="009254B4" w:rsidRDefault="000473BD" w:rsidP="00982E65"/>
          <w:p w14:paraId="4EE4C73E" w14:textId="77777777" w:rsidR="000473BD" w:rsidRPr="009254B4" w:rsidRDefault="000473BD" w:rsidP="00982E65"/>
          <w:p w14:paraId="39BC6360" w14:textId="77777777" w:rsidR="000473BD" w:rsidRPr="009254B4" w:rsidRDefault="000473BD" w:rsidP="00982E65"/>
          <w:p w14:paraId="0B3D2927" w14:textId="77777777" w:rsidR="000473BD" w:rsidRPr="009254B4" w:rsidRDefault="000473BD" w:rsidP="00982E65"/>
          <w:p w14:paraId="44607763" w14:textId="77777777" w:rsidR="000473BD" w:rsidRPr="009254B4" w:rsidRDefault="000473BD" w:rsidP="00982E65"/>
        </w:tc>
        <w:tc>
          <w:tcPr>
            <w:tcW w:w="709" w:type="dxa"/>
            <w:shd w:val="clear" w:color="auto" w:fill="auto"/>
          </w:tcPr>
          <w:p w14:paraId="43D0EFF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419309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40E3891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740E5F9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676EF56" w14:textId="615F12CA" w:rsidR="000473BD" w:rsidRPr="009254B4" w:rsidRDefault="000473BD" w:rsidP="00102575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 w:rsidR="00102575">
              <w:t>2</w:t>
            </w:r>
            <w:r w:rsidRPr="009254B4">
              <w:t xml:space="preserve"> в том числе 64 124,</w:t>
            </w:r>
            <w:r w:rsidR="00102575">
              <w:t>6</w:t>
            </w:r>
            <w:r w:rsidRPr="009254B4">
              <w:t>за счет средств област</w:t>
            </w:r>
            <w:bookmarkStart w:id="2" w:name="_GoBack"/>
            <w:bookmarkEnd w:id="2"/>
            <w:r w:rsidRPr="009254B4">
              <w:t>ного</w:t>
            </w:r>
          </w:p>
        </w:tc>
        <w:tc>
          <w:tcPr>
            <w:tcW w:w="708" w:type="dxa"/>
            <w:shd w:val="clear" w:color="auto" w:fill="auto"/>
          </w:tcPr>
          <w:p w14:paraId="7BC8A642" w14:textId="77777777" w:rsidR="000473BD" w:rsidRPr="009254B4" w:rsidRDefault="002A63FB" w:rsidP="00D73C25">
            <w:pPr>
              <w:autoSpaceDE w:val="0"/>
              <w:autoSpaceDN w:val="0"/>
              <w:adjustRightInd w:val="0"/>
              <w:jc w:val="both"/>
            </w:pPr>
            <w:r w:rsidRPr="002A63FB">
              <w:t>48 444,9</w:t>
            </w:r>
            <w:r w:rsidR="00D73C25" w:rsidRPr="009254B4">
              <w:t xml:space="preserve"> в том числе </w:t>
            </w:r>
            <w:r w:rsidR="00D73C25">
              <w:t>45 416,0</w:t>
            </w:r>
            <w:r w:rsidR="00D73C25"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5B9F210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02C29E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F39EFC4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6CB03BD9" w14:textId="548080CA" w:rsidR="000473BD" w:rsidRPr="009254B4" w:rsidRDefault="002A63FB" w:rsidP="00102575">
            <w:pPr>
              <w:autoSpaceDE w:val="0"/>
              <w:autoSpaceDN w:val="0"/>
              <w:adjustRightInd w:val="0"/>
              <w:jc w:val="center"/>
            </w:pPr>
            <w:r w:rsidRPr="002A63FB">
              <w:t>229 469,</w:t>
            </w:r>
            <w:r w:rsidR="00102575">
              <w:t>5</w:t>
            </w:r>
            <w:r>
              <w:t xml:space="preserve"> </w:t>
            </w:r>
            <w:r w:rsidR="000473BD" w:rsidRPr="009254B4">
              <w:t xml:space="preserve">в том числе </w:t>
            </w:r>
            <w:r w:rsidR="00D73C25">
              <w:t>218 978</w:t>
            </w:r>
            <w:r w:rsidR="000473BD" w:rsidRPr="004C4A57">
              <w:t>,</w:t>
            </w:r>
            <w:r w:rsidR="00102575">
              <w:t>5</w:t>
            </w:r>
            <w:r w:rsidR="000473BD" w:rsidRPr="004C4A57">
              <w:t>5</w:t>
            </w:r>
            <w:r w:rsidR="000473BD">
              <w:t xml:space="preserve"> </w:t>
            </w:r>
            <w:r w:rsidR="000473BD"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FF4D82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F157F20" w14:textId="77777777" w:rsidR="000473BD" w:rsidRPr="009254B4" w:rsidRDefault="000473BD" w:rsidP="00982E65">
            <w:pPr>
              <w:jc w:val="center"/>
            </w:pPr>
          </w:p>
        </w:tc>
      </w:tr>
      <w:tr w:rsidR="000473BD" w:rsidRPr="009254B4" w14:paraId="7172286F" w14:textId="77777777" w:rsidTr="00982E65">
        <w:tc>
          <w:tcPr>
            <w:tcW w:w="425" w:type="dxa"/>
            <w:shd w:val="clear" w:color="auto" w:fill="auto"/>
          </w:tcPr>
          <w:p w14:paraId="2769E63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24B283F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6F7E1B8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3F2369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E24720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273855F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7466DC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3EF042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37E116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366D49D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19B7BA1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386BDD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D0B1E0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4E8AB24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9E62430" w14:textId="77777777" w:rsidR="000473BD" w:rsidRPr="009254B4" w:rsidRDefault="000473BD" w:rsidP="00982E65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4D070979" w14:textId="77777777" w:rsidR="000473BD" w:rsidRPr="009254B4" w:rsidRDefault="000473BD" w:rsidP="00982E65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22033E1A" w14:textId="77777777" w:rsidR="000473BD" w:rsidRPr="009254B4" w:rsidRDefault="000473BD" w:rsidP="00982E65">
            <w:pPr>
              <w:jc w:val="both"/>
            </w:pPr>
          </w:p>
        </w:tc>
      </w:tr>
    </w:tbl>
    <w:p w14:paraId="438624FB" w14:textId="77777777"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0C45985D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4F2DFD4" w14:textId="219E2CE4"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«</w:t>
      </w:r>
      <w:r w:rsidRPr="009727F5">
        <w:rPr>
          <w:sz w:val="28"/>
          <w:szCs w:val="28"/>
          <w:lang w:eastAsia="ar-SA"/>
        </w:rPr>
        <w:t>Объем финансирования программы 2023 – 202</w:t>
      </w:r>
      <w:r w:rsidR="00D73C25">
        <w:rPr>
          <w:sz w:val="28"/>
          <w:szCs w:val="28"/>
          <w:lang w:eastAsia="ar-SA"/>
        </w:rPr>
        <w:t>8</w:t>
      </w:r>
      <w:r w:rsidRPr="009727F5">
        <w:rPr>
          <w:sz w:val="28"/>
          <w:szCs w:val="28"/>
          <w:lang w:eastAsia="ar-SA"/>
        </w:rPr>
        <w:t xml:space="preserve"> гг. составляет</w:t>
      </w:r>
      <w:r w:rsidR="004F4DB5">
        <w:rPr>
          <w:sz w:val="28"/>
          <w:szCs w:val="28"/>
          <w:lang w:eastAsia="ar-SA"/>
        </w:rPr>
        <w:t xml:space="preserve"> </w:t>
      </w:r>
      <w:r w:rsidR="002A63FB" w:rsidRPr="002A63FB">
        <w:rPr>
          <w:sz w:val="28"/>
          <w:szCs w:val="28"/>
        </w:rPr>
        <w:t>229 469,</w:t>
      </w:r>
      <w:r w:rsidR="005A20AD">
        <w:rPr>
          <w:sz w:val="28"/>
          <w:szCs w:val="28"/>
        </w:rPr>
        <w:t>5</w:t>
      </w:r>
      <w:r w:rsidR="002A63FB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Кинельский в размере </w:t>
      </w:r>
      <w:r w:rsidR="002A63FB" w:rsidRPr="002A63FB">
        <w:rPr>
          <w:sz w:val="28"/>
          <w:szCs w:val="28"/>
          <w:lang w:eastAsia="ar-SA"/>
        </w:rPr>
        <w:t>10 490,95</w:t>
      </w:r>
      <w:r w:rsidR="00D73C25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Кинельский в размере</w:t>
      </w:r>
      <w:r>
        <w:rPr>
          <w:sz w:val="28"/>
          <w:szCs w:val="28"/>
          <w:lang w:eastAsia="ar-SA"/>
        </w:rPr>
        <w:t xml:space="preserve"> </w:t>
      </w:r>
      <w:r w:rsidR="00D73C25" w:rsidRPr="00D73C25">
        <w:rPr>
          <w:sz w:val="28"/>
          <w:szCs w:val="28"/>
        </w:rPr>
        <w:t>218 978,</w:t>
      </w:r>
      <w:r w:rsidR="005A20AD">
        <w:rPr>
          <w:sz w:val="28"/>
          <w:szCs w:val="28"/>
        </w:rPr>
        <w:t>5</w:t>
      </w:r>
      <w:r w:rsidR="00D73C25" w:rsidRPr="00D73C25">
        <w:rPr>
          <w:sz w:val="28"/>
          <w:szCs w:val="28"/>
        </w:rPr>
        <w:t xml:space="preserve">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14:paraId="5481C31F" w14:textId="77777777"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14:paraId="112766D0" w14:textId="77777777"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D73C25">
        <w:rPr>
          <w:sz w:val="28"/>
          <w:szCs w:val="28"/>
          <w:lang w:eastAsia="ar-SA"/>
        </w:rPr>
        <w:t>6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2A63FB" w:rsidRPr="002A63FB">
        <w:rPr>
          <w:sz w:val="28"/>
          <w:szCs w:val="28"/>
        </w:rPr>
        <w:t>48 444,9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Кинельский в размере </w:t>
      </w:r>
      <w:r w:rsidR="002A63FB" w:rsidRPr="002A63FB">
        <w:rPr>
          <w:sz w:val="28"/>
          <w:szCs w:val="28"/>
        </w:rPr>
        <w:t>3 028,9</w:t>
      </w:r>
      <w:r w:rsidR="002A63FB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r w:rsidR="00E57710" w:rsidRPr="00F57D20">
        <w:rPr>
          <w:sz w:val="28"/>
          <w:szCs w:val="28"/>
          <w:lang w:eastAsia="ar-SA"/>
        </w:rPr>
        <w:t xml:space="preserve">Кинельский в размере </w:t>
      </w:r>
      <w:r w:rsidR="00D73C25">
        <w:rPr>
          <w:sz w:val="28"/>
          <w:szCs w:val="28"/>
        </w:rPr>
        <w:t>45 416,0</w:t>
      </w:r>
      <w:r w:rsidR="0095210E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14:paraId="2F9FF847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74C87"/>
    <w:rsid w:val="00084CBE"/>
    <w:rsid w:val="00092B39"/>
    <w:rsid w:val="000932D1"/>
    <w:rsid w:val="0009338B"/>
    <w:rsid w:val="000B6263"/>
    <w:rsid w:val="000D5407"/>
    <w:rsid w:val="000E1181"/>
    <w:rsid w:val="00102575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20AD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55EF1"/>
    <w:rsid w:val="0076638D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33A91"/>
    <w:rsid w:val="00B51FD9"/>
    <w:rsid w:val="00B70A70"/>
    <w:rsid w:val="00B7200E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CF5BE6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0067C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B35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9595-4AA4-4E36-8C21-43CA80A5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3</cp:revision>
  <cp:lastPrinted>2026-03-10T07:57:00Z</cp:lastPrinted>
  <dcterms:created xsi:type="dcterms:W3CDTF">2026-03-23T10:15:00Z</dcterms:created>
  <dcterms:modified xsi:type="dcterms:W3CDTF">2026-03-23T11:15:00Z</dcterms:modified>
</cp:coreProperties>
</file>