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22.04.2026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Год Единства народов России.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Музей Самарской исторической мечети</w:t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       </w:t>
      </w:r>
      <w:r>
        <w:rPr>
          <w:rFonts w:ascii="Tinos" w:hAnsi="Tinos" w:eastAsia="Tinos" w:cs="Tinos"/>
          <w:color w:val="0a0a0a"/>
          <w:sz w:val="26"/>
          <w:szCs w:val="26"/>
        </w:rPr>
        <w:t xml:space="preserve">  Продолжая вести </w:t>
      </w:r>
      <w:r>
        <w:rPr>
          <w:rFonts w:ascii="Tinos" w:hAnsi="Tinos" w:eastAsia="Tinos" w:cs="Tinos"/>
          <w:b/>
          <w:bCs/>
          <w:color w:val="0a0a0a"/>
          <w:sz w:val="26"/>
          <w:szCs w:val="26"/>
        </w:rPr>
        <w:t xml:space="preserve">Календарь Года Единства народов России</w:t>
      </w:r>
      <w:r>
        <w:rPr>
          <w:rFonts w:ascii="Tinos" w:hAnsi="Tinos" w:eastAsia="Tinos" w:cs="Tinos"/>
          <w:color w:val="0a0a0a"/>
          <w:sz w:val="26"/>
          <w:szCs w:val="26"/>
        </w:rPr>
        <w:t xml:space="preserve">, сотрудники самарского Росреестра побывали в Музее Самарской исторической мечети.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jc w:val="both"/>
        <w:spacing w:line="276" w:lineRule="auto"/>
        <w:rPr>
          <w:rFonts w:ascii="Tinos" w:hAnsi="Tinos" w:eastAsia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       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i w:val="0"/>
          <w:iCs w:val="0"/>
          <w:color w:val="202122"/>
          <w:sz w:val="26"/>
          <w:szCs w:val="26"/>
          <w:highlight w:val="white"/>
        </w:rPr>
        <w:t xml:space="preserve">Самарская историческая мечеть является </w:t>
      </w:r>
      <w:r>
        <w:rPr>
          <w:rFonts w:ascii="Tinos" w:hAnsi="Tinos" w:eastAsia="Tinos" w:cs="Tinos"/>
          <w:i w:val="0"/>
          <w:iCs w:val="0"/>
          <w:color w:val="202122"/>
          <w:sz w:val="26"/>
          <w:szCs w:val="26"/>
          <w:highlight w:val="white"/>
        </w:rPr>
        <w:t xml:space="preserve">объектом культурного наследия регионального значения</w:t>
      </w:r>
      <w:r>
        <w:rPr>
          <w:rFonts w:ascii="Tinos" w:hAnsi="Tinos" w:eastAsia="Tinos" w:cs="Tinos"/>
          <w:i w:val="0"/>
          <w:iCs w:val="0"/>
          <w:sz w:val="26"/>
          <w:szCs w:val="26"/>
          <w:highlight w:val="none"/>
        </w:rPr>
        <w:t xml:space="preserve">. Она </w:t>
      </w:r>
      <w:r>
        <w:rPr>
          <w:rFonts w:ascii="Tinos" w:hAnsi="Tinos" w:eastAsia="Tinos" w:cs="Tinos"/>
          <w:i w:val="0"/>
          <w:iCs w:val="0"/>
          <w:color w:val="202122"/>
          <w:sz w:val="26"/>
          <w:szCs w:val="26"/>
          <w:highlight w:val="none"/>
        </w:rPr>
        <w:t xml:space="preserve">служит духовным символом, укрепляющим веру и объединяющим людей</w:t>
      </w:r>
      <w:r>
        <w:rPr>
          <w:rFonts w:ascii="Liberation Sans" w:hAnsi="Liberation Sans" w:eastAsia="Liberation Sans" w:cs="Liberation Sans"/>
          <w:i w:val="0"/>
          <w:iCs w:val="0"/>
          <w:color w:val="0a0a0a"/>
          <w:sz w:val="26"/>
          <w:szCs w:val="26"/>
        </w:rPr>
        <w:t xml:space="preserve">.</w:t>
      </w:r>
      <w:r>
        <w:rPr>
          <w:rFonts w:ascii="Tinos" w:hAnsi="Tinos" w:eastAsia="Tinos" w:cs="Tinos"/>
          <w:i w:val="0"/>
          <w:iCs w:val="0"/>
          <w:color w:val="0a0a0a"/>
          <w:sz w:val="26"/>
          <w:szCs w:val="26"/>
        </w:rPr>
        <w:t xml:space="preserve"> Музей подчеркивает ее значимость в региональном и общероссийском масштабе</w:t>
      </w:r>
      <w:r>
        <w:rPr>
          <w:rFonts w:ascii="Tinos" w:hAnsi="Tinos" w:eastAsia="Tinos" w:cs="Tinos"/>
          <w:i w:val="0"/>
          <w:iCs w:val="0"/>
          <w:color w:val="202122"/>
          <w:sz w:val="26"/>
          <w:szCs w:val="26"/>
          <w:highlight w:val="none"/>
        </w:rPr>
        <w:t xml:space="preserve">. </w:t>
      </w:r>
      <w:r>
        <w:rPr>
          <w:rFonts w:ascii="Tinos" w:hAnsi="Tinos" w:eastAsia="Tinos" w:cs="Tinos"/>
          <w:sz w:val="26"/>
          <w:szCs w:val="26"/>
          <w:highlight w:val="none"/>
        </w:rPr>
      </w:r>
      <w:r>
        <w:rPr>
          <w:rFonts w:ascii="Tinos" w:hAnsi="Tinos" w:eastAsia="Tinos" w:cs="Tinos"/>
          <w:sz w:val="26"/>
          <w:szCs w:val="26"/>
          <w:highlight w:val="none"/>
        </w:rPr>
      </w:r>
    </w:p>
    <w:p>
      <w:pPr>
        <w:jc w:val="both"/>
        <w:spacing w:line="276" w:lineRule="auto"/>
        <w:rPr>
          <w:rFonts w:ascii="Tinos" w:hAnsi="Tinos" w:cs="Tinos"/>
          <w:color w:val="202122"/>
          <w:sz w:val="26"/>
          <w:szCs w:val="26"/>
          <w:highlight w:val="white"/>
        </w:rPr>
      </w:pPr>
      <w:r>
        <w:rPr>
          <w:rFonts w:ascii="Tinos" w:hAnsi="Tinos" w:eastAsia="Tinos" w:cs="Tinos"/>
          <w:sz w:val="26"/>
          <w:szCs w:val="26"/>
          <w:highlight w:val="none"/>
        </w:rPr>
        <w:t xml:space="preserve">       Самарская историческая мечеть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 была построена в 1891 году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.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На рубеже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 19-20 веков она стала одним из духовных центров 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Самары и губернии. Здесь работала школа для детей, медресе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, действовало благотворительное общество, 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бесплатная 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столовая и библиотека,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 была организована русско-татарская школа.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В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 начале 20-го века в здании располагалась редакция общественно-политического журнала 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«Икътисад» («Экономика»)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, который распространялся 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и во многих губерниях.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Его 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р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едактор состоял в переписке с Габдуллой Тукаем и Алексеем Толстым. </w:t>
      </w:r>
      <w:r>
        <w:rPr>
          <w:rFonts w:ascii="Tinos" w:hAnsi="Tinos" w:cs="Tinos"/>
          <w:color w:val="202122"/>
          <w:sz w:val="26"/>
          <w:szCs w:val="26"/>
          <w:highlight w:val="white"/>
        </w:rPr>
      </w:r>
      <w:r>
        <w:rPr>
          <w:rFonts w:ascii="Tinos" w:hAnsi="Tinos" w:cs="Tinos"/>
          <w:color w:val="202122"/>
          <w:sz w:val="26"/>
          <w:szCs w:val="26"/>
          <w:highlight w:val="white"/>
        </w:rPr>
      </w:r>
    </w:p>
    <w:p>
      <w:pPr>
        <w:jc w:val="both"/>
        <w:spacing w:line="276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       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С 2016 г. в Самарской исторической мечети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 открыт музей «</w:t>
      </w:r>
      <w:r>
        <w:rPr>
          <w:rFonts w:ascii="Tinos" w:hAnsi="Tinos" w:eastAsia="Tinos" w:cs="Tinos"/>
          <w:i/>
          <w:iCs/>
          <w:color w:val="202122"/>
          <w:sz w:val="26"/>
          <w:szCs w:val="26"/>
        </w:rPr>
        <w:t xml:space="preserve">Жизнь и быт самарских мусульман в XIX-XX вв»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. 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Здесь находятся 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документы, 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мебель, 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старинная одежда, 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сельскохозяйственные орудия, домашняя утварь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. Есть целые коллекции старины: самовары</w:t>
      </w:r>
      <w:r>
        <w:rPr>
          <w:rFonts w:ascii="Tinos" w:hAnsi="Tinos" w:eastAsia="Tinos" w:cs="Tinos"/>
          <w:color w:val="202122"/>
          <w:sz w:val="26"/>
          <w:szCs w:val="26"/>
        </w:rPr>
        <w:t xml:space="preserve">, утюги, керосиновые лампы, кумганы, прялки. 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В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 библиотеке при исторической мечети собрана духовная литература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, учебники по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 </w:t>
      </w:r>
      <w:r>
        <w:rPr>
          <w:rFonts w:ascii="Tinos" w:hAnsi="Tinos" w:eastAsia="Tinos" w:cs="Tinos"/>
          <w:color w:val="202122"/>
          <w:sz w:val="26"/>
          <w:szCs w:val="26"/>
          <w:highlight w:val="none"/>
        </w:rPr>
        <w:t xml:space="preserve">арабскому, 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книги, документы, 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газеты, журналы</w:t>
      </w:r>
      <w:r>
        <w:rPr>
          <w:rFonts w:ascii="Tinos" w:hAnsi="Tinos" w:eastAsia="Tinos" w:cs="Tinos"/>
          <w:color w:val="202122"/>
          <w:sz w:val="26"/>
          <w:szCs w:val="26"/>
          <w:highlight w:val="white"/>
        </w:rPr>
        <w:t xml:space="preserve">, открытки и фотографии. </w:t>
      </w:r>
      <w:r>
        <w:rPr>
          <w:rFonts w:ascii="Tinos" w:hAnsi="Tinos" w:eastAsia="Tinos" w:cs="Tinos"/>
          <w:sz w:val="26"/>
          <w:szCs w:val="26"/>
          <w:highlight w:val="none"/>
        </w:rPr>
        <w:t xml:space="preserve">    </w:t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line="276" w:lineRule="auto"/>
        <w:shd w:val="clear" w:color="ffffff" w:fill="ffffff"/>
        <w:rPr>
          <w:rFonts w:ascii="Tinos" w:hAnsi="Tinos" w:cs="Tinos"/>
          <w:bCs/>
          <w:i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0a0a0a"/>
          <w:sz w:val="26"/>
          <w:szCs w:val="26"/>
        </w:rPr>
        <w:t xml:space="preserve">      «В контексте Года единства народов России </w:t>
      </w:r>
      <w:r>
        <w:rPr>
          <w:rFonts w:ascii="Tinos" w:hAnsi="Tinos" w:eastAsia="Tinos" w:cs="Tinos"/>
          <w:i/>
          <w:iCs/>
          <w:color w:val="0a0a0a"/>
          <w:sz w:val="26"/>
          <w:szCs w:val="26"/>
        </w:rPr>
        <w:t xml:space="preserve">деятельность Самарской исторической мечети приобретает значение центра сохранения культурного наследия и межнационального диалога, – </w:t>
      </w:r>
      <w:r>
        <w:rPr>
          <w:rFonts w:ascii="Tinos" w:hAnsi="Tinos" w:eastAsia="Tinos" w:cs="Tinos"/>
          <w:i w:val="0"/>
          <w:iCs w:val="0"/>
          <w:color w:val="0a0a0a"/>
          <w:sz w:val="26"/>
          <w:szCs w:val="26"/>
        </w:rPr>
        <w:t xml:space="preserve">отметила начальник отдела координации и анализа </w:t>
      </w:r>
      <w:r>
        <w:rPr>
          <w:rFonts w:ascii="Tinos" w:hAnsi="Tinos" w:eastAsia="Tinos" w:cs="Tinos"/>
          <w:i w:val="0"/>
          <w:iCs w:val="0"/>
          <w:color w:val="0a0a0a"/>
          <w:sz w:val="26"/>
          <w:szCs w:val="26"/>
        </w:rPr>
        <w:t xml:space="preserve">деятельности в учетно-регистрационной сфере самарского Росреестра</w:t>
      </w:r>
      <w:r>
        <w:rPr>
          <w:rFonts w:ascii="Tinos" w:hAnsi="Tinos" w:eastAsia="Tinos" w:cs="Tinos"/>
          <w:i/>
          <w:iCs/>
          <w:color w:val="0a0a0a"/>
          <w:sz w:val="26"/>
          <w:szCs w:val="26"/>
        </w:rPr>
        <w:t xml:space="preserve"> </w:t>
      </w:r>
      <w:r>
        <w:rPr>
          <w:rFonts w:ascii="Tinos" w:hAnsi="Tinos" w:eastAsia="Tinos" w:cs="Tinos"/>
          <w:b/>
          <w:bCs/>
          <w:i w:val="0"/>
          <w:iCs w:val="0"/>
          <w:color w:val="0a0a0a"/>
          <w:sz w:val="26"/>
          <w:szCs w:val="26"/>
        </w:rPr>
        <w:t xml:space="preserve">Лилия Аглиулова.</w:t>
      </w:r>
      <w:r>
        <w:rPr>
          <w:rFonts w:ascii="Tinos" w:hAnsi="Tinos" w:eastAsia="Tinos" w:cs="Tinos"/>
          <w:i/>
          <w:iCs/>
          <w:color w:val="0a0a0a"/>
          <w:sz w:val="26"/>
          <w:szCs w:val="26"/>
        </w:rPr>
        <w:t xml:space="preserve"> - </w:t>
      </w:r>
      <w:r>
        <w:rPr>
          <w:rFonts w:ascii="Tinos" w:hAnsi="Tinos" w:eastAsia="Tinos" w:cs="Tinos"/>
          <w:i/>
          <w:iCs/>
          <w:color w:val="0a0a0a"/>
          <w:sz w:val="26"/>
          <w:szCs w:val="26"/>
        </w:rPr>
        <w:t xml:space="preserve">Проведение таких</w:t>
      </w:r>
      <w:r>
        <w:rPr>
          <w:rFonts w:ascii="Tinos" w:hAnsi="Tinos" w:eastAsia="Tinos" w:cs="Tinos"/>
          <w:i/>
          <w:iCs/>
          <w:color w:val="0a0a0a"/>
          <w:sz w:val="26"/>
          <w:szCs w:val="26"/>
        </w:rPr>
        <w:t xml:space="preserve"> экскурсий </w:t>
      </w:r>
      <w:r>
        <w:rPr>
          <w:rFonts w:ascii="Tinos" w:hAnsi="Tinos" w:eastAsia="Tinos" w:cs="Tinos"/>
          <w:i/>
          <w:iCs/>
          <w:color w:val="0a0a0a"/>
          <w:sz w:val="26"/>
          <w:szCs w:val="26"/>
        </w:rPr>
        <w:t xml:space="preserve">направлено на воспитание уважения к культуре народов России».</w:t>
      </w:r>
      <w:r>
        <w:rPr>
          <w:rFonts w:ascii="Tinos" w:hAnsi="Tinos" w:cs="Tinos"/>
          <w:bCs/>
          <w:i/>
          <w:sz w:val="26"/>
          <w:szCs w:val="26"/>
        </w:rPr>
      </w:r>
      <w:r>
        <w:rPr>
          <w:rFonts w:ascii="Tinos" w:hAnsi="Tinos" w:cs="Tinos"/>
          <w:bCs/>
          <w:i/>
          <w:sz w:val="26"/>
          <w:szCs w:val="26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  <w:r>
        <w:rPr>
          <w:rFonts w:ascii="Tinos" w:hAnsi="Tinos" w:cs="Tinos"/>
          <w:bCs/>
          <w:i/>
          <w:color w:val="000000" w:themeColor="text1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a0a0a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a0a0a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a0a0a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a0a0a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a0a0a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a0a0a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a0a0a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a0a0a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a0a0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alloon Text"/>
    <w:basedOn w:val="834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5"/>
    <w:link w:val="83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16</cp:revision>
  <dcterms:created xsi:type="dcterms:W3CDTF">2024-09-30T06:51:00Z</dcterms:created>
  <dcterms:modified xsi:type="dcterms:W3CDTF">2026-04-21T06:06:39Z</dcterms:modified>
</cp:coreProperties>
</file>