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B845EE1">
      <w:pPr>
        <w:widowControl/>
        <w:suppressAutoHyphens/>
        <w:spacing w:before="0" w:after="0"/>
        <w:ind w:left="0" w:right="0" w:firstLine="480" w:firstLineChars="200"/>
        <w:jc w:val="left"/>
        <w:rPr>
          <w:rFonts w:ascii="Times New Roman" w:hAnsi="Times New Roman" w:eastAsia="Times New Roman" w:cs="Times New Roman"/>
          <w:spacing w:val="0"/>
          <w:sz w:val="24"/>
          <w:lang w:val="ru-RU" w:eastAsia="ru-RU" w:bidi="ar-SA"/>
        </w:rPr>
      </w:pPr>
      <w:r>
        <w:rPr>
          <w:rFonts w:ascii="Times New Roman" w:hAnsi="Times New Roman" w:eastAsia="Times New Roman" w:cs="Times New Roman"/>
          <w:spacing w:val="0"/>
          <w:sz w:val="24"/>
          <w:lang w:val="ru-RU" w:eastAsia="ru-RU" w:bidi="ar-SA"/>
        </w:rPr>
        <w:t>Самарская область</w:t>
      </w:r>
    </w:p>
    <w:p w14:paraId="117536B7">
      <w:pPr>
        <w:widowControl/>
        <w:suppressAutoHyphens/>
        <w:spacing w:before="0" w:after="0"/>
        <w:ind w:left="0" w:right="0" w:firstLine="0"/>
        <w:jc w:val="left"/>
        <w:rPr>
          <w:rFonts w:ascii="Times New Roman" w:hAnsi="Times New Roman" w:eastAsia="Times New Roman" w:cs="Times New Roman"/>
          <w:spacing w:val="0"/>
          <w:sz w:val="24"/>
          <w:lang w:val="ru-RU" w:eastAsia="ru-RU" w:bidi="ar-SA"/>
        </w:rPr>
      </w:pPr>
      <w:r>
        <w:rPr>
          <w:rFonts w:ascii="Times New Roman" w:hAnsi="Times New Roman" w:eastAsia="Times New Roman" w:cs="Times New Roman"/>
          <w:spacing w:val="0"/>
          <w:sz w:val="24"/>
          <w:lang w:val="ru-RU" w:eastAsia="ru-RU" w:bidi="ar-SA"/>
        </w:rPr>
        <w:t>муниципальный район Кинельский</w:t>
      </w:r>
    </w:p>
    <w:p w14:paraId="49536E1F">
      <w:pPr>
        <w:widowControl/>
        <w:suppressAutoHyphens/>
        <w:spacing w:before="0" w:after="0"/>
        <w:ind w:left="0" w:right="0" w:firstLine="0"/>
        <w:jc w:val="left"/>
        <w:rPr>
          <w:rFonts w:ascii="Times New Roman" w:hAnsi="Times New Roman" w:eastAsia="Times New Roman" w:cs="Times New Roman"/>
          <w:spacing w:val="0"/>
          <w:sz w:val="24"/>
          <w:lang w:val="ru-RU" w:eastAsia="ru-RU" w:bidi="ar-SA"/>
        </w:rPr>
      </w:pPr>
    </w:p>
    <w:p w14:paraId="08838B19">
      <w:pPr>
        <w:widowControl/>
        <w:suppressAutoHyphens/>
        <w:spacing w:before="0" w:after="0"/>
        <w:ind w:left="0" w:right="0" w:firstLine="0"/>
        <w:jc w:val="left"/>
        <w:rPr>
          <w:rFonts w:ascii="Times New Roman" w:hAnsi="Times New Roman" w:eastAsia="Times New Roman" w:cs="Times New Roman"/>
          <w:b/>
          <w:spacing w:val="0"/>
          <w:sz w:val="24"/>
          <w:lang w:val="ru-RU" w:eastAsia="ru-RU" w:bidi="ar-SA"/>
        </w:rPr>
      </w:pPr>
      <w:r>
        <w:rPr>
          <w:rFonts w:ascii="Times New Roman" w:hAnsi="Times New Roman" w:eastAsia="Times New Roman" w:cs="Times New Roman"/>
          <w:b/>
          <w:spacing w:val="0"/>
          <w:sz w:val="24"/>
          <w:lang w:val="ru-RU" w:eastAsia="ru-RU" w:bidi="ar-SA"/>
        </w:rPr>
        <w:t xml:space="preserve">        Администрация</w:t>
      </w:r>
    </w:p>
    <w:p w14:paraId="03756862">
      <w:pPr>
        <w:widowControl/>
        <w:suppressAutoHyphens/>
        <w:spacing w:before="0" w:after="0"/>
        <w:ind w:left="0" w:right="0" w:firstLine="0"/>
        <w:jc w:val="left"/>
        <w:rPr>
          <w:rFonts w:ascii="Times New Roman" w:hAnsi="Times New Roman" w:eastAsia="Times New Roman" w:cs="Times New Roman"/>
          <w:b/>
          <w:spacing w:val="0"/>
          <w:sz w:val="24"/>
          <w:lang w:val="ru-RU" w:eastAsia="ru-RU" w:bidi="ar-SA"/>
        </w:rPr>
      </w:pPr>
      <w:r>
        <w:rPr>
          <w:rFonts w:ascii="Times New Roman" w:hAnsi="Times New Roman" w:eastAsia="Times New Roman" w:cs="Times New Roman"/>
          <w:b/>
          <w:spacing w:val="0"/>
          <w:sz w:val="24"/>
          <w:lang w:val="ru-RU" w:eastAsia="ru-RU" w:bidi="ar-SA"/>
        </w:rPr>
        <w:t xml:space="preserve">    сельского поселения</w:t>
      </w:r>
    </w:p>
    <w:p w14:paraId="735931B0">
      <w:pPr>
        <w:widowControl/>
        <w:suppressAutoHyphens/>
        <w:spacing w:before="0" w:after="0"/>
        <w:ind w:left="0" w:right="0" w:firstLine="0"/>
        <w:jc w:val="left"/>
        <w:rPr>
          <w:rFonts w:ascii="Times New Roman" w:hAnsi="Times New Roman" w:eastAsia="Times New Roman" w:cs="Times New Roman"/>
          <w:b/>
          <w:spacing w:val="0"/>
          <w:sz w:val="24"/>
          <w:lang w:val="ru-RU" w:eastAsia="ru-RU" w:bidi="ar-SA"/>
        </w:rPr>
      </w:pPr>
      <w:r>
        <w:rPr>
          <w:rFonts w:ascii="Times New Roman" w:hAnsi="Times New Roman" w:eastAsia="Times New Roman" w:cs="Times New Roman"/>
          <w:b/>
          <w:spacing w:val="0"/>
          <w:sz w:val="24"/>
          <w:lang w:val="ru-RU" w:eastAsia="ru-RU" w:bidi="ar-SA"/>
        </w:rPr>
        <w:t xml:space="preserve">            Алакаевка</w:t>
      </w:r>
    </w:p>
    <w:p w14:paraId="40B95368">
      <w:pPr>
        <w:widowControl/>
        <w:suppressAutoHyphens/>
        <w:spacing w:before="0" w:after="0"/>
        <w:ind w:left="0" w:right="0" w:firstLine="0"/>
        <w:jc w:val="both"/>
        <w:rPr>
          <w:rFonts w:ascii="Times New Roman" w:hAnsi="Times New Roman" w:eastAsia="Times New Roman" w:cs="Times New Roman"/>
          <w:b/>
          <w:spacing w:val="0"/>
          <w:sz w:val="24"/>
          <w:lang w:val="ru-RU" w:eastAsia="ru-RU" w:bidi="ar-SA"/>
        </w:rPr>
      </w:pPr>
    </w:p>
    <w:p w14:paraId="75F6FA88">
      <w:pPr>
        <w:widowControl/>
        <w:suppressAutoHyphens/>
        <w:spacing w:before="0" w:after="0"/>
        <w:ind w:left="0" w:right="0" w:firstLine="0"/>
        <w:jc w:val="both"/>
        <w:rPr>
          <w:rFonts w:ascii="Times New Roman" w:hAnsi="Times New Roman" w:eastAsia="Times New Roman" w:cs="Times New Roman"/>
          <w:spacing w:val="0"/>
          <w:sz w:val="24"/>
          <w:lang w:val="ru-RU" w:eastAsia="ru-RU" w:bidi="ar-SA"/>
        </w:rPr>
      </w:pPr>
      <w:r>
        <w:rPr>
          <w:rFonts w:ascii="Times New Roman" w:hAnsi="Times New Roman" w:eastAsia="Times New Roman" w:cs="Times New Roman"/>
          <w:spacing w:val="0"/>
          <w:sz w:val="24"/>
          <w:lang w:val="ru-RU" w:eastAsia="ru-RU" w:bidi="ar-SA"/>
        </w:rPr>
        <w:t xml:space="preserve">    ПОСТАНОВЛЕНИЕ</w:t>
      </w:r>
    </w:p>
    <w:p w14:paraId="3819E398">
      <w:pPr>
        <w:widowControl/>
        <w:suppressAutoHyphens/>
        <w:spacing w:before="0" w:after="0"/>
        <w:ind w:left="0" w:right="0" w:firstLine="0"/>
        <w:jc w:val="left"/>
        <w:rPr>
          <w:rFonts w:ascii="Times New Roman" w:hAnsi="Times New Roman" w:eastAsia="Times New Roman" w:cs="Times New Roman"/>
          <w:spacing w:val="0"/>
          <w:sz w:val="24"/>
          <w:lang w:val="ru-RU" w:eastAsia="ru-RU" w:bidi="ar-SA"/>
        </w:rPr>
      </w:pPr>
    </w:p>
    <w:tbl>
      <w:tblPr>
        <w:tblStyle w:val="8"/>
        <w:tblW w:w="0" w:type="auto"/>
        <w:tblInd w:w="108" w:type="dxa"/>
        <w:tblLayout w:type="fixed"/>
        <w:tblCellMar>
          <w:top w:w="0" w:type="dxa"/>
          <w:left w:w="108" w:type="dxa"/>
          <w:bottom w:w="0" w:type="dxa"/>
          <w:right w:w="108" w:type="dxa"/>
        </w:tblCellMar>
      </w:tblPr>
      <w:tblGrid>
        <w:gridCol w:w="3107"/>
        <w:gridCol w:w="1560"/>
      </w:tblGrid>
      <w:tr w14:paraId="596E9360">
        <w:tblPrEx>
          <w:tblCellMar>
            <w:top w:w="0" w:type="dxa"/>
            <w:left w:w="108" w:type="dxa"/>
            <w:bottom w:w="0" w:type="dxa"/>
            <w:right w:w="108" w:type="dxa"/>
          </w:tblCellMar>
        </w:tblPrEx>
        <w:trPr>
          <w:trHeight w:val="1" w:hRule="atLeast"/>
        </w:trPr>
        <w:tc>
          <w:tcPr>
            <w:tcW w:w="3107" w:type="dxa"/>
            <w:tcBorders>
              <w:top w:val="nil"/>
              <w:left w:val="nil"/>
              <w:bottom w:val="nil"/>
              <w:right w:val="nil"/>
            </w:tcBorders>
            <w:shd w:val="clear" w:color="auto" w:fill="FFFFFF"/>
            <w:noWrap w:val="0"/>
            <w:tcMar>
              <w:top w:w="0" w:type="dxa"/>
              <w:left w:w="108" w:type="dxa"/>
              <w:bottom w:w="0" w:type="dxa"/>
              <w:right w:w="108" w:type="dxa"/>
            </w:tcMar>
            <w:vAlign w:val="top"/>
          </w:tcPr>
          <w:p w14:paraId="4B76BF58">
            <w:pPr>
              <w:widowControl/>
              <w:suppressAutoHyphens/>
              <w:spacing w:before="0" w:after="0"/>
              <w:ind w:left="0" w:right="0" w:firstLine="0"/>
              <w:jc w:val="left"/>
              <w:rPr>
                <w:rFonts w:ascii="Times New Roman" w:hAnsi="Times New Roman" w:eastAsia="Times New Roman" w:cs="Times New Roman"/>
                <w:spacing w:val="0"/>
                <w:sz w:val="24"/>
                <w:lang w:val="ru-RU" w:eastAsia="ru-RU" w:bidi="ar-SA"/>
              </w:rPr>
            </w:pPr>
            <w:r>
              <w:rPr>
                <w:rFonts w:ascii="Times New Roman" w:hAnsi="Times New Roman" w:eastAsia="Times New Roman" w:cs="Times New Roman"/>
                <w:spacing w:val="0"/>
                <w:sz w:val="24"/>
                <w:lang w:val="ru-RU" w:eastAsia="ru-RU" w:bidi="ar-SA"/>
              </w:rPr>
              <w:t xml:space="preserve">от  </w:t>
            </w:r>
            <w:r>
              <w:rPr>
                <w:rFonts w:hint="default" w:ascii="Times New Roman" w:hAnsi="Times New Roman" w:eastAsia="Times New Roman" w:cs="Times New Roman"/>
                <w:spacing w:val="0"/>
                <w:sz w:val="24"/>
                <w:lang w:val="en-US" w:eastAsia="ru-RU" w:bidi="ar-SA"/>
              </w:rPr>
              <w:t>«03»</w:t>
            </w:r>
            <w:r>
              <w:rPr>
                <w:rFonts w:ascii="Times New Roman" w:hAnsi="Times New Roman" w:eastAsia="Times New Roman" w:cs="Times New Roman"/>
                <w:spacing w:val="0"/>
                <w:sz w:val="24"/>
                <w:lang w:val="ru-RU" w:eastAsia="ru-RU" w:bidi="ar-SA"/>
              </w:rPr>
              <w:t xml:space="preserve"> июля 2026 г.</w:t>
            </w:r>
          </w:p>
        </w:tc>
        <w:tc>
          <w:tcPr>
            <w:tcW w:w="1560" w:type="dxa"/>
            <w:tcBorders>
              <w:top w:val="nil"/>
              <w:left w:val="nil"/>
              <w:bottom w:val="nil"/>
              <w:right w:val="nil"/>
            </w:tcBorders>
            <w:shd w:val="clear" w:color="auto" w:fill="FFFFFF"/>
            <w:noWrap w:val="0"/>
            <w:tcMar>
              <w:top w:w="0" w:type="dxa"/>
              <w:left w:w="108" w:type="dxa"/>
              <w:bottom w:w="0" w:type="dxa"/>
              <w:right w:w="108" w:type="dxa"/>
            </w:tcMar>
            <w:vAlign w:val="top"/>
          </w:tcPr>
          <w:p w14:paraId="3ACEFE11">
            <w:pPr>
              <w:widowControl/>
              <w:suppressAutoHyphens/>
              <w:spacing w:before="0" w:after="0"/>
              <w:ind w:left="0" w:right="0" w:firstLine="0"/>
              <w:jc w:val="both"/>
              <w:rPr>
                <w:rFonts w:hint="default" w:ascii="Times New Roman" w:hAnsi="Times New Roman" w:eastAsia="Times New Roman" w:cs="Times New Roman"/>
                <w:spacing w:val="0"/>
                <w:sz w:val="24"/>
                <w:lang w:val="en-US" w:eastAsia="ru-RU" w:bidi="ar-SA"/>
              </w:rPr>
            </w:pPr>
            <w:r>
              <w:rPr>
                <w:rFonts w:ascii="Times New Roman" w:hAnsi="Times New Roman" w:eastAsia="Times New Roman" w:cs="Times New Roman"/>
                <w:spacing w:val="0"/>
                <w:sz w:val="24"/>
                <w:lang w:val="ru-RU" w:eastAsia="ru-RU" w:bidi="ar-SA"/>
              </w:rPr>
              <w:t xml:space="preserve">№ </w:t>
            </w:r>
            <w:r>
              <w:rPr>
                <w:rFonts w:hint="default" w:ascii="Times New Roman" w:hAnsi="Times New Roman" w:eastAsia="Times New Roman" w:cs="Times New Roman"/>
                <w:spacing w:val="0"/>
                <w:sz w:val="24"/>
                <w:lang w:val="en-US" w:eastAsia="ru-RU" w:bidi="ar-SA"/>
              </w:rPr>
              <w:t>55-1</w:t>
            </w:r>
          </w:p>
        </w:tc>
      </w:tr>
    </w:tbl>
    <w:p w14:paraId="7BAC8378">
      <w:pPr>
        <w:widowControl/>
        <w:suppressAutoHyphens/>
        <w:spacing w:before="0" w:after="0"/>
        <w:ind w:left="0" w:right="0" w:firstLine="0"/>
        <w:jc w:val="both"/>
        <w:rPr>
          <w:rFonts w:ascii="Times New Roman" w:hAnsi="Times New Roman" w:eastAsia="Times New Roman" w:cs="Times New Roman"/>
          <w:spacing w:val="0"/>
          <w:sz w:val="24"/>
          <w:lang w:val="ru-RU" w:eastAsia="ru-RU" w:bidi="ar-SA"/>
        </w:rPr>
      </w:pPr>
      <w:r>
        <w:rPr>
          <w:rFonts w:ascii="Times New Roman" w:hAnsi="Times New Roman" w:eastAsia="Times New Roman" w:cs="Times New Roman"/>
          <w:spacing w:val="0"/>
          <w:sz w:val="24"/>
          <w:lang w:val="ru-RU" w:eastAsia="ru-RU" w:bidi="ar-SA"/>
        </w:rPr>
        <w:t xml:space="preserve">            с. Алакаевка  </w:t>
      </w:r>
    </w:p>
    <w:p w14:paraId="0D000000">
      <w:pPr>
        <w:widowControl w:val="0"/>
        <w:spacing w:after="0" w:line="240" w:lineRule="auto"/>
        <w:jc w:val="both"/>
        <w:rPr>
          <w:rFonts w:ascii="Times New Roman" w:hAnsi="Times New Roman"/>
          <w:color w:val="000000"/>
          <w:sz w:val="24"/>
          <w:u w:val="none"/>
        </w:rPr>
      </w:pPr>
    </w:p>
    <w:p w14:paraId="0E000000">
      <w:pPr>
        <w:widowControl w:val="0"/>
        <w:spacing w:after="0" w:line="240" w:lineRule="auto"/>
        <w:jc w:val="both"/>
        <w:rPr>
          <w:rFonts w:ascii="Times New Roman" w:hAnsi="Times New Roman"/>
          <w:color w:val="000000"/>
          <w:sz w:val="24"/>
          <w:u w:val="none"/>
        </w:rPr>
      </w:pPr>
      <w:r>
        <w:rPr>
          <w:rFonts w:ascii="Times New Roman" w:hAnsi="Times New Roman"/>
          <w:b/>
          <w:color w:val="000000"/>
          <w:sz w:val="24"/>
          <w:u w:val="none"/>
        </w:rPr>
        <w:t>«Об утверждении Положения об увековечении памяти погибших (умерших) уроженцев сельского поселения Алакаевка муниципального района Кинельский Самарской области и постоянно проживавших на территории муниципального района Кинельский Самарской области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w:t>
      </w:r>
    </w:p>
    <w:p w14:paraId="0F000000">
      <w:pPr>
        <w:widowControl w:val="0"/>
        <w:spacing w:after="0" w:line="240" w:lineRule="auto"/>
        <w:jc w:val="both"/>
        <w:rPr>
          <w:rFonts w:ascii="Times New Roman" w:hAnsi="Times New Roman"/>
          <w:color w:val="000000"/>
          <w:sz w:val="24"/>
          <w:u w:val="none"/>
        </w:rPr>
      </w:pPr>
      <w:r>
        <w:rPr>
          <w:rFonts w:ascii="Times New Roman" w:hAnsi="Times New Roman"/>
          <w:color w:val="000000"/>
          <w:sz w:val="24"/>
          <w:u w:val="none"/>
        </w:rPr>
        <w:tab/>
      </w:r>
    </w:p>
    <w:p w14:paraId="1514CD7B">
      <w:pPr>
        <w:widowControl w:val="0"/>
        <w:spacing w:after="0" w:line="240" w:lineRule="auto"/>
        <w:ind w:left="0" w:firstLine="708"/>
        <w:jc w:val="both"/>
        <w:rPr>
          <w:rFonts w:ascii="Times New Roman" w:hAnsi="Times New Roman"/>
          <w:b w:val="0"/>
          <w:color w:val="000000"/>
          <w:sz w:val="24"/>
          <w:u w:val="none"/>
        </w:rPr>
      </w:pPr>
      <w:r>
        <w:rPr>
          <w:rFonts w:ascii="Times New Roman" w:hAnsi="Times New Roman"/>
          <w:b w:val="0"/>
          <w:color w:val="000000"/>
          <w:sz w:val="24"/>
          <w:u w:val="none"/>
        </w:rPr>
        <w:t xml:space="preserve">В соответствии с Законом Российской Федерации от 14.01.1993 № 4292-1 «Об увековечении памяти погибших при защите Отечества», руководствуясь Уставом </w:t>
      </w:r>
      <w:r>
        <w:rPr>
          <w:rFonts w:ascii="Times New Roman" w:hAnsi="Times New Roman"/>
          <w:b w:val="0"/>
          <w:color w:val="000000"/>
          <w:sz w:val="24"/>
          <w:u w:val="none"/>
          <w:lang w:val="ru-RU"/>
        </w:rPr>
        <w:t>сельского</w:t>
      </w:r>
      <w:r>
        <w:rPr>
          <w:rFonts w:hint="default" w:ascii="Times New Roman" w:hAnsi="Times New Roman"/>
          <w:b w:val="0"/>
          <w:color w:val="000000"/>
          <w:sz w:val="24"/>
          <w:u w:val="none"/>
          <w:lang w:val="ru-RU"/>
        </w:rPr>
        <w:t xml:space="preserve"> поселения Алакаевка </w:t>
      </w:r>
      <w:r>
        <w:rPr>
          <w:rFonts w:ascii="Times New Roman" w:hAnsi="Times New Roman"/>
          <w:b w:val="0"/>
          <w:color w:val="000000"/>
          <w:sz w:val="24"/>
          <w:u w:val="none"/>
        </w:rPr>
        <w:t>муниципального района Кинельский, администрация</w:t>
      </w:r>
      <w:r>
        <w:rPr>
          <w:rFonts w:hint="default" w:ascii="Times New Roman" w:hAnsi="Times New Roman"/>
          <w:b w:val="0"/>
          <w:color w:val="000000"/>
          <w:sz w:val="24"/>
          <w:u w:val="none"/>
          <w:lang w:val="ru-RU"/>
        </w:rPr>
        <w:t xml:space="preserve"> сельского поселения Алакаевка</w:t>
      </w:r>
      <w:r>
        <w:rPr>
          <w:rFonts w:ascii="Times New Roman" w:hAnsi="Times New Roman"/>
          <w:b w:val="0"/>
          <w:color w:val="000000"/>
          <w:sz w:val="24"/>
          <w:u w:val="none"/>
        </w:rPr>
        <w:t xml:space="preserve"> муниципального района Кинельский, </w:t>
      </w:r>
    </w:p>
    <w:p w14:paraId="10000000">
      <w:pPr>
        <w:widowControl w:val="0"/>
        <w:spacing w:after="0" w:line="240" w:lineRule="auto"/>
        <w:ind w:left="0" w:firstLine="708"/>
        <w:jc w:val="both"/>
        <w:rPr>
          <w:rFonts w:ascii="Times New Roman" w:hAnsi="Times New Roman"/>
          <w:b w:val="0"/>
          <w:color w:val="000000"/>
          <w:sz w:val="24"/>
          <w:u w:val="none"/>
        </w:rPr>
      </w:pPr>
      <w:r>
        <w:rPr>
          <w:rFonts w:ascii="Times New Roman" w:hAnsi="Times New Roman"/>
          <w:b w:val="0"/>
          <w:color w:val="000000"/>
          <w:sz w:val="24"/>
          <w:u w:val="none"/>
          <w:lang w:val="ru-RU"/>
        </w:rPr>
        <w:t>ПОСТАНОВЛЯЕТ</w:t>
      </w:r>
      <w:r>
        <w:rPr>
          <w:rFonts w:ascii="Times New Roman" w:hAnsi="Times New Roman"/>
          <w:b w:val="0"/>
          <w:color w:val="000000"/>
          <w:sz w:val="24"/>
          <w:u w:val="none"/>
        </w:rPr>
        <w:t>:</w:t>
      </w:r>
    </w:p>
    <w:p w14:paraId="11000000">
      <w:pPr>
        <w:widowControl w:val="0"/>
        <w:numPr>
          <w:ilvl w:val="0"/>
          <w:numId w:val="1"/>
        </w:numPr>
        <w:spacing w:after="0" w:line="240" w:lineRule="auto"/>
        <w:ind w:left="0" w:firstLine="709"/>
        <w:jc w:val="both"/>
        <w:rPr>
          <w:rFonts w:ascii="Times New Roman" w:hAnsi="Times New Roman"/>
          <w:b w:val="0"/>
          <w:color w:val="000000"/>
          <w:sz w:val="24"/>
          <w:u w:val="none"/>
        </w:rPr>
      </w:pPr>
      <w:r>
        <w:rPr>
          <w:rFonts w:ascii="Times New Roman" w:hAnsi="Times New Roman"/>
          <w:b w:val="0"/>
          <w:color w:val="000000"/>
          <w:sz w:val="24"/>
          <w:u w:val="none"/>
        </w:rPr>
        <w:t>Утвердить прилагаемое Положение об увековечении памяти погибших  (умерших) уроженцев сельского поселения Алакаевка муниципального района Кинельский Самарской области и постоянно проживавших на территории сельского поселения Алакаевка муниципального района Кинельский Самарской области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 (далее – Административный регламент).</w:t>
      </w:r>
    </w:p>
    <w:p w14:paraId="12000000">
      <w:pPr>
        <w:widowControl w:val="0"/>
        <w:numPr>
          <w:ilvl w:val="0"/>
          <w:numId w:val="1"/>
        </w:numPr>
        <w:spacing w:after="0" w:line="240" w:lineRule="auto"/>
        <w:ind w:left="0" w:firstLine="709"/>
        <w:jc w:val="both"/>
        <w:rPr>
          <w:rFonts w:ascii="Times New Roman" w:hAnsi="Times New Roman"/>
          <w:b w:val="0"/>
          <w:color w:val="000000"/>
          <w:sz w:val="24"/>
          <w:u w:val="none"/>
        </w:rPr>
      </w:pPr>
      <w:r>
        <w:rPr>
          <w:rFonts w:ascii="Times New Roman" w:hAnsi="Times New Roman"/>
          <w:b w:val="0"/>
          <w:color w:val="000000"/>
          <w:sz w:val="24"/>
          <w:u w:val="none"/>
        </w:rPr>
        <w:t xml:space="preserve">Разместить настоящее постановление на официальном сайте администрации муниципального района Кинельский в сети Интернет и опубликовать в </w:t>
      </w:r>
      <w:r>
        <w:rPr>
          <w:rFonts w:ascii="Times New Roman" w:hAnsi="Times New Roman"/>
          <w:b w:val="0"/>
          <w:color w:val="000000"/>
          <w:sz w:val="24"/>
          <w:u w:val="none"/>
          <w:lang w:val="ru-RU"/>
        </w:rPr>
        <w:t>газете</w:t>
      </w:r>
      <w:r>
        <w:rPr>
          <w:rFonts w:hint="default" w:ascii="Times New Roman" w:hAnsi="Times New Roman"/>
          <w:b w:val="0"/>
          <w:color w:val="000000"/>
          <w:sz w:val="24"/>
          <w:u w:val="none"/>
          <w:lang w:val="ru-RU"/>
        </w:rPr>
        <w:t xml:space="preserve"> «Вестник сельского поселения Алакаевка»</w:t>
      </w:r>
      <w:r>
        <w:rPr>
          <w:rFonts w:ascii="Times New Roman" w:hAnsi="Times New Roman"/>
          <w:b w:val="0"/>
          <w:color w:val="000000"/>
          <w:sz w:val="24"/>
          <w:u w:val="none"/>
        </w:rPr>
        <w:t>.</w:t>
      </w:r>
    </w:p>
    <w:p w14:paraId="13000000">
      <w:pPr>
        <w:widowControl w:val="0"/>
        <w:numPr>
          <w:ilvl w:val="0"/>
          <w:numId w:val="1"/>
        </w:numPr>
        <w:spacing w:after="0" w:line="240" w:lineRule="auto"/>
        <w:ind w:left="0" w:firstLine="709"/>
        <w:jc w:val="both"/>
        <w:rPr>
          <w:rFonts w:ascii="Times New Roman" w:hAnsi="Times New Roman"/>
          <w:b w:val="0"/>
          <w:color w:val="000000"/>
          <w:sz w:val="24"/>
          <w:u w:val="none"/>
        </w:rPr>
      </w:pPr>
      <w:r>
        <w:rPr>
          <w:rFonts w:ascii="Times New Roman" w:hAnsi="Times New Roman"/>
          <w:b w:val="0"/>
          <w:color w:val="000000"/>
          <w:sz w:val="24"/>
          <w:u w:val="none"/>
        </w:rPr>
        <w:t xml:space="preserve">Контроль за исполнением настоящего постановления </w:t>
      </w:r>
      <w:r>
        <w:rPr>
          <w:rFonts w:ascii="Times New Roman" w:hAnsi="Times New Roman"/>
          <w:b w:val="0"/>
          <w:color w:val="000000"/>
          <w:sz w:val="24"/>
          <w:u w:val="none"/>
          <w:lang w:val="ru-RU"/>
        </w:rPr>
        <w:t>оставляю</w:t>
      </w:r>
      <w:r>
        <w:rPr>
          <w:rFonts w:hint="default" w:ascii="Times New Roman" w:hAnsi="Times New Roman"/>
          <w:b w:val="0"/>
          <w:color w:val="000000"/>
          <w:sz w:val="24"/>
          <w:u w:val="none"/>
          <w:lang w:val="ru-RU"/>
        </w:rPr>
        <w:t xml:space="preserve"> за собой</w:t>
      </w:r>
      <w:r>
        <w:rPr>
          <w:rFonts w:ascii="Times New Roman" w:hAnsi="Times New Roman"/>
          <w:b w:val="0"/>
          <w:color w:val="000000"/>
          <w:sz w:val="24"/>
          <w:u w:val="none"/>
        </w:rPr>
        <w:t>.</w:t>
      </w:r>
    </w:p>
    <w:p w14:paraId="14000000">
      <w:pPr>
        <w:widowControl w:val="0"/>
        <w:spacing w:after="0" w:line="240" w:lineRule="auto"/>
        <w:jc w:val="both"/>
        <w:rPr>
          <w:rFonts w:ascii="Times New Roman" w:hAnsi="Times New Roman"/>
          <w:color w:val="000000"/>
          <w:sz w:val="24"/>
          <w:u w:val="none"/>
        </w:rPr>
      </w:pPr>
    </w:p>
    <w:p w14:paraId="15000000">
      <w:pPr>
        <w:widowControl w:val="0"/>
        <w:spacing w:after="0" w:line="240" w:lineRule="auto"/>
        <w:jc w:val="both"/>
        <w:rPr>
          <w:rFonts w:ascii="Times New Roman" w:hAnsi="Times New Roman"/>
          <w:color w:val="000000"/>
          <w:sz w:val="24"/>
          <w:u w:val="none"/>
        </w:rPr>
      </w:pPr>
    </w:p>
    <w:p w14:paraId="16000000">
      <w:pPr>
        <w:widowControl w:val="0"/>
        <w:spacing w:after="0" w:line="240" w:lineRule="exact"/>
        <w:jc w:val="both"/>
        <w:rPr>
          <w:rFonts w:ascii="Times New Roman" w:hAnsi="Times New Roman"/>
          <w:color w:val="000000"/>
          <w:sz w:val="24"/>
          <w:u w:val="none"/>
        </w:rPr>
      </w:pPr>
      <w:r>
        <w:rPr>
          <w:rFonts w:ascii="Times New Roman" w:hAnsi="Times New Roman"/>
          <w:color w:val="000000"/>
          <w:sz w:val="24"/>
          <w:u w:val="none"/>
        </w:rPr>
        <w:t xml:space="preserve">Глава </w:t>
      </w:r>
      <w:r>
        <w:rPr>
          <w:rFonts w:ascii="Times New Roman" w:hAnsi="Times New Roman"/>
          <w:b w:val="0"/>
          <w:color w:val="000000"/>
          <w:sz w:val="24"/>
          <w:u w:val="none"/>
        </w:rPr>
        <w:t>сельского поселения Алакаевка</w:t>
      </w:r>
    </w:p>
    <w:p w14:paraId="35E27642">
      <w:pPr>
        <w:widowControl w:val="0"/>
        <w:spacing w:after="0" w:line="240" w:lineRule="exact"/>
        <w:jc w:val="both"/>
        <w:rPr>
          <w:rFonts w:ascii="Times New Roman" w:hAnsi="Times New Roman"/>
          <w:b w:val="0"/>
          <w:color w:val="000000"/>
          <w:sz w:val="24"/>
          <w:u w:val="none"/>
        </w:rPr>
      </w:pPr>
      <w:r>
        <w:rPr>
          <w:rFonts w:ascii="Times New Roman" w:hAnsi="Times New Roman"/>
          <w:b w:val="0"/>
          <w:color w:val="000000"/>
          <w:sz w:val="24"/>
          <w:u w:val="none"/>
        </w:rPr>
        <w:t>муниципального района Кинельский</w:t>
      </w:r>
    </w:p>
    <w:p w14:paraId="17000000">
      <w:pPr>
        <w:widowControl w:val="0"/>
        <w:spacing w:after="0" w:line="240" w:lineRule="exact"/>
        <w:jc w:val="both"/>
        <w:rPr>
          <w:rFonts w:ascii="Times New Roman" w:hAnsi="Times New Roman"/>
          <w:color w:val="000000"/>
          <w:sz w:val="24"/>
          <w:u w:val="none"/>
        </w:rPr>
      </w:pPr>
      <w:r>
        <w:rPr>
          <w:rFonts w:ascii="Times New Roman" w:hAnsi="Times New Roman"/>
          <w:b w:val="0"/>
          <w:color w:val="000000"/>
          <w:sz w:val="24"/>
          <w:u w:val="none"/>
          <w:lang w:val="ru-RU"/>
        </w:rPr>
        <w:t>Самарской</w:t>
      </w:r>
      <w:r>
        <w:rPr>
          <w:rFonts w:hint="default" w:ascii="Times New Roman" w:hAnsi="Times New Roman"/>
          <w:b w:val="0"/>
          <w:color w:val="000000"/>
          <w:sz w:val="24"/>
          <w:u w:val="none"/>
          <w:lang w:val="ru-RU"/>
        </w:rPr>
        <w:t xml:space="preserve"> области</w:t>
      </w:r>
      <w:r>
        <w:rPr>
          <w:rFonts w:ascii="Times New Roman" w:hAnsi="Times New Roman"/>
          <w:color w:val="000000"/>
          <w:sz w:val="24"/>
          <w:u w:val="none"/>
        </w:rPr>
        <w:t xml:space="preserve">                             </w:t>
      </w:r>
      <w:r>
        <w:rPr>
          <w:rFonts w:ascii="Times New Roman" w:hAnsi="Times New Roman"/>
          <w:color w:val="000000"/>
          <w:sz w:val="24"/>
          <w:u w:val="none"/>
        </w:rPr>
        <w:tab/>
      </w:r>
      <w:r>
        <w:rPr>
          <w:rFonts w:ascii="Times New Roman" w:hAnsi="Times New Roman"/>
          <w:color w:val="000000"/>
          <w:sz w:val="24"/>
          <w:u w:val="none"/>
        </w:rPr>
        <w:tab/>
      </w:r>
      <w:r>
        <w:rPr>
          <w:rFonts w:ascii="Times New Roman" w:hAnsi="Times New Roman"/>
          <w:color w:val="000000"/>
          <w:sz w:val="24"/>
          <w:u w:val="none"/>
        </w:rPr>
        <w:t xml:space="preserve">                        И.В. Ионова</w:t>
      </w:r>
    </w:p>
    <w:p w14:paraId="18000000">
      <w:pPr>
        <w:widowControl w:val="0"/>
        <w:spacing w:after="0" w:line="240" w:lineRule="auto"/>
        <w:rPr>
          <w:rFonts w:ascii="Times New Roman" w:hAnsi="Times New Roman"/>
          <w:color w:val="000000"/>
          <w:sz w:val="24"/>
          <w:u w:val="none"/>
        </w:rPr>
      </w:pPr>
    </w:p>
    <w:p w14:paraId="19000000">
      <w:pPr>
        <w:widowControl w:val="0"/>
        <w:spacing w:after="0" w:line="240" w:lineRule="auto"/>
        <w:rPr>
          <w:rFonts w:ascii="Times New Roman" w:hAnsi="Times New Roman"/>
          <w:color w:val="000000"/>
          <w:sz w:val="24"/>
          <w:u w:val="none"/>
        </w:rPr>
      </w:pPr>
    </w:p>
    <w:p w14:paraId="1A000000">
      <w:pPr>
        <w:widowControl w:val="0"/>
        <w:spacing w:after="0" w:line="240" w:lineRule="auto"/>
        <w:rPr>
          <w:rFonts w:ascii="Times New Roman" w:hAnsi="Times New Roman"/>
          <w:color w:val="000000"/>
          <w:sz w:val="24"/>
          <w:u w:val="none"/>
        </w:rPr>
      </w:pPr>
    </w:p>
    <w:p w14:paraId="1B000000">
      <w:pPr>
        <w:widowControl w:val="0"/>
        <w:spacing w:after="0" w:line="240" w:lineRule="auto"/>
        <w:rPr>
          <w:rFonts w:ascii="Times New Roman" w:hAnsi="Times New Roman"/>
          <w:color w:val="000000"/>
          <w:sz w:val="28"/>
          <w:u w:val="none"/>
        </w:rPr>
      </w:pPr>
    </w:p>
    <w:p w14:paraId="1C000000">
      <w:pPr>
        <w:widowControl w:val="0"/>
        <w:spacing w:after="0" w:line="240" w:lineRule="auto"/>
        <w:rPr>
          <w:rFonts w:ascii="Times New Roman" w:hAnsi="Times New Roman"/>
          <w:color w:val="000000"/>
          <w:sz w:val="28"/>
          <w:u w:val="none"/>
        </w:rPr>
      </w:pPr>
    </w:p>
    <w:p w14:paraId="1D000000">
      <w:pPr>
        <w:widowControl w:val="0"/>
        <w:spacing w:after="0" w:line="240" w:lineRule="auto"/>
        <w:rPr>
          <w:rFonts w:ascii="Times New Roman" w:hAnsi="Times New Roman"/>
          <w:color w:val="000000"/>
          <w:sz w:val="28"/>
          <w:u w:val="none"/>
        </w:rPr>
      </w:pPr>
    </w:p>
    <w:p w14:paraId="1E000000">
      <w:pPr>
        <w:widowControl w:val="0"/>
        <w:spacing w:after="0" w:line="240" w:lineRule="auto"/>
        <w:rPr>
          <w:rFonts w:ascii="Times New Roman" w:hAnsi="Times New Roman"/>
          <w:color w:val="000000"/>
          <w:sz w:val="28"/>
          <w:u w:val="none"/>
        </w:rPr>
      </w:pPr>
    </w:p>
    <w:p w14:paraId="23000000">
      <w:pPr>
        <w:widowControl w:val="0"/>
        <w:spacing w:after="0" w:line="240" w:lineRule="auto"/>
        <w:rPr>
          <w:rFonts w:ascii="Times New Roman" w:hAnsi="Times New Roman"/>
          <w:color w:val="000000"/>
          <w:sz w:val="28"/>
          <w:u w:val="none"/>
        </w:rPr>
      </w:pPr>
    </w:p>
    <w:p w14:paraId="25000000">
      <w:pPr>
        <w:widowControl w:val="0"/>
        <w:spacing w:after="0" w:line="240" w:lineRule="auto"/>
        <w:jc w:val="right"/>
        <w:rPr>
          <w:rFonts w:ascii="Times New Roman" w:hAnsi="Times New Roman"/>
          <w:b w:val="0"/>
          <w:color w:val="000000"/>
          <w:sz w:val="24"/>
          <w:u w:val="none"/>
        </w:rPr>
      </w:pPr>
      <w:bookmarkStart w:id="0" w:name="_GoBack"/>
      <w:bookmarkEnd w:id="0"/>
      <w:r>
        <w:rPr>
          <w:rFonts w:ascii="Times New Roman" w:hAnsi="Times New Roman"/>
          <w:b w:val="0"/>
          <w:color w:val="000000"/>
          <w:sz w:val="24"/>
          <w:u w:val="none"/>
        </w:rPr>
        <w:t>УТВЕРЖДЕН</w:t>
      </w:r>
    </w:p>
    <w:p w14:paraId="26000000">
      <w:pPr>
        <w:widowControl w:val="0"/>
        <w:spacing w:after="0" w:line="240" w:lineRule="auto"/>
        <w:jc w:val="right"/>
        <w:rPr>
          <w:rFonts w:ascii="Times New Roman" w:hAnsi="Times New Roman"/>
          <w:b w:val="0"/>
          <w:color w:val="000000"/>
          <w:sz w:val="24"/>
          <w:u w:val="none"/>
        </w:rPr>
      </w:pPr>
      <w:r>
        <w:rPr>
          <w:rFonts w:ascii="Times New Roman" w:hAnsi="Times New Roman"/>
          <w:b w:val="0"/>
          <w:color w:val="000000"/>
          <w:sz w:val="24"/>
          <w:u w:val="none"/>
        </w:rPr>
        <w:t xml:space="preserve">постановлением администрации </w:t>
      </w:r>
    </w:p>
    <w:p w14:paraId="27000000">
      <w:pPr>
        <w:widowControl w:val="0"/>
        <w:spacing w:after="0" w:line="240" w:lineRule="auto"/>
        <w:jc w:val="right"/>
        <w:rPr>
          <w:rFonts w:ascii="Times New Roman" w:hAnsi="Times New Roman"/>
          <w:b w:val="0"/>
          <w:color w:val="000000"/>
          <w:sz w:val="24"/>
          <w:u w:val="none"/>
        </w:rPr>
      </w:pPr>
      <w:r>
        <w:rPr>
          <w:rFonts w:ascii="Times New Roman" w:hAnsi="Times New Roman"/>
          <w:b w:val="0"/>
          <w:color w:val="000000"/>
          <w:sz w:val="24"/>
          <w:u w:val="none"/>
        </w:rPr>
        <w:t>муниципального  района Кинельский</w:t>
      </w:r>
    </w:p>
    <w:p w14:paraId="28000000">
      <w:pPr>
        <w:widowControl w:val="0"/>
        <w:wordWrap w:val="0"/>
        <w:spacing w:after="0" w:line="240" w:lineRule="auto"/>
        <w:jc w:val="right"/>
        <w:rPr>
          <w:rFonts w:hint="default" w:ascii="Times New Roman" w:hAnsi="Times New Roman"/>
          <w:color w:val="000000"/>
          <w:sz w:val="24"/>
          <w:u w:val="none"/>
          <w:lang w:val="ru-RU"/>
        </w:rPr>
      </w:pPr>
      <w:r>
        <w:rPr>
          <w:rFonts w:ascii="Times New Roman" w:hAnsi="Times New Roman"/>
          <w:color w:val="000000"/>
          <w:sz w:val="24"/>
          <w:u w:val="none"/>
        </w:rPr>
        <w:t xml:space="preserve">от </w:t>
      </w:r>
      <w:r>
        <w:rPr>
          <w:rFonts w:hint="default" w:ascii="Times New Roman" w:hAnsi="Times New Roman"/>
          <w:color w:val="000000"/>
          <w:sz w:val="24"/>
          <w:u w:val="none"/>
          <w:lang w:val="ru-RU"/>
        </w:rPr>
        <w:t>03.07</w:t>
      </w:r>
      <w:r>
        <w:rPr>
          <w:rFonts w:ascii="Times New Roman" w:hAnsi="Times New Roman"/>
          <w:color w:val="000000"/>
          <w:sz w:val="24"/>
          <w:u w:val="none"/>
        </w:rPr>
        <w:t xml:space="preserve">.2026 № </w:t>
      </w:r>
      <w:r>
        <w:rPr>
          <w:rFonts w:hint="default" w:ascii="Times New Roman" w:hAnsi="Times New Roman"/>
          <w:color w:val="000000"/>
          <w:sz w:val="24"/>
          <w:u w:val="none"/>
          <w:lang w:val="ru-RU"/>
        </w:rPr>
        <w:t xml:space="preserve"> 55-1</w:t>
      </w:r>
    </w:p>
    <w:p w14:paraId="29000000">
      <w:pPr>
        <w:widowControl w:val="0"/>
        <w:spacing w:after="0" w:line="240" w:lineRule="auto"/>
        <w:jc w:val="both"/>
        <w:rPr>
          <w:rFonts w:ascii="Times New Roman" w:hAnsi="Times New Roman"/>
          <w:color w:val="000000"/>
          <w:sz w:val="24"/>
          <w:u w:val="none"/>
        </w:rPr>
      </w:pPr>
    </w:p>
    <w:p w14:paraId="2A000000">
      <w:pPr>
        <w:widowControl w:val="0"/>
        <w:spacing w:after="0" w:line="240" w:lineRule="auto"/>
        <w:jc w:val="center"/>
        <w:rPr>
          <w:rFonts w:ascii="Times New Roman" w:hAnsi="Times New Roman"/>
          <w:i w:val="0"/>
          <w:color w:val="000000"/>
          <w:sz w:val="24"/>
          <w:u w:val="none"/>
        </w:rPr>
      </w:pPr>
      <w:r>
        <w:rPr>
          <w:rFonts w:ascii="Times New Roman" w:hAnsi="Times New Roman"/>
          <w:i w:val="0"/>
          <w:sz w:val="24"/>
        </w:rPr>
        <w:t xml:space="preserve">ПОЛОЖЕНИЕ ОБ УВЕКОВЕЧЕНИИ ПАМЯТИ ПОГИБШИХ (УМЕРШИХ) УРОЖЕНЦЕВ СЕЛЬСКОГО ПОСЕЛЕНИЯ АЛАКАЕВКА МУНИЦИПАЛЬНОГО РАЙОНА КИНЕЛЬСКИЙ САМАРСКОЙ ОБЛАСТИ И ПОСТОЯННО ПРОЖИВАВШИХ НА ТЕРРИТОРИИ СЕЛЬСКОГО ПОСЕЛЕНИЯ АЛАКАЕВКА МУНИЦИПАЛЬНОГО РАЙОНА КИНЕЛЬСКИЙ САМАРСКОЙ ОБЛАСТИ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 </w:t>
      </w:r>
    </w:p>
    <w:p w14:paraId="2B000000">
      <w:pPr>
        <w:widowControl w:val="0"/>
        <w:spacing w:after="0" w:line="240" w:lineRule="auto"/>
        <w:jc w:val="center"/>
        <w:rPr>
          <w:rFonts w:ascii="Times New Roman" w:hAnsi="Times New Roman"/>
          <w:i w:val="0"/>
          <w:color w:val="000000"/>
          <w:sz w:val="24"/>
          <w:u w:val="none"/>
        </w:rPr>
      </w:pPr>
    </w:p>
    <w:p w14:paraId="2C000000">
      <w:pPr>
        <w:widowControl w:val="0"/>
        <w:spacing w:after="0" w:line="240" w:lineRule="auto"/>
        <w:jc w:val="center"/>
        <w:rPr>
          <w:rFonts w:ascii="Times New Roman" w:hAnsi="Times New Roman"/>
          <w:i w:val="0"/>
          <w:color w:val="000000"/>
          <w:sz w:val="24"/>
          <w:u w:val="none"/>
        </w:rPr>
      </w:pPr>
      <w:r>
        <w:rPr>
          <w:rFonts w:ascii="Times New Roman" w:hAnsi="Times New Roman"/>
          <w:sz w:val="24"/>
        </w:rPr>
        <w:t>Глава 1. ОБЩИЕ ПОЛОЖЕНИЯ</w:t>
      </w:r>
    </w:p>
    <w:p w14:paraId="2D000000">
      <w:pPr>
        <w:widowControl w:val="0"/>
        <w:spacing w:after="0" w:line="240" w:lineRule="auto"/>
        <w:jc w:val="both"/>
        <w:rPr>
          <w:rFonts w:ascii="Times New Roman" w:hAnsi="Times New Roman"/>
          <w:color w:val="000000"/>
          <w:sz w:val="24"/>
          <w:u w:val="none"/>
        </w:rPr>
      </w:pPr>
    </w:p>
    <w:p w14:paraId="2E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1.1. Настоящее Положение об увековечении памяти погибших (умерших) уроженцев сельского поселения Алакаевка муниципального района Кинельский Самарской области и постоянно проживавших на территории сельского поселения Алакаевка муниципального района Кинельский Самарской области на дату гибели (смерти) в ходе специальной военной операции на территориях Украины, Донецкой Народной Республики и Луганской Народной Республики с 24 февраля 2022 года, на территориях Запорожской и Херсонской областей с 30 сентября 2022 года (далее – Положение) разработано в соответствии с Законом Российской Федерации от 14 января 1993 года № 4292-1 «Об увековечении памяти погибших при Защите Отечества». </w:t>
      </w:r>
    </w:p>
    <w:p w14:paraId="2F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1.2. Постоянное проживание погибшего (умершего) на территории сельского поселения Алакаевка муниципального района Кинельский Самарской области подтверждается регистрацией по месту жительства на сельского поселения Алакаевка территории муниципального района Кинельский Самарской области, решением суда об установлении факта постоянного проживания, погибшего (умершего) на территории сельского поселения Алакаевка муниципального района Кинельский Самарской области Самарской области, выпиской из домовой книги. </w:t>
      </w:r>
    </w:p>
    <w:p w14:paraId="30000000">
      <w:pPr>
        <w:widowControl w:val="0"/>
        <w:spacing w:after="0" w:line="240" w:lineRule="auto"/>
        <w:ind w:firstLine="709"/>
        <w:jc w:val="both"/>
        <w:rPr>
          <w:rFonts w:ascii="Times New Roman" w:hAnsi="Times New Roman"/>
          <w:color w:val="000000"/>
          <w:sz w:val="24"/>
          <w:u w:val="none"/>
        </w:rPr>
      </w:pPr>
    </w:p>
    <w:p w14:paraId="31000000">
      <w:pPr>
        <w:widowControl w:val="0"/>
        <w:spacing w:after="0" w:line="240" w:lineRule="auto"/>
        <w:ind w:firstLine="0"/>
        <w:jc w:val="center"/>
        <w:rPr>
          <w:rFonts w:ascii="Times New Roman" w:hAnsi="Times New Roman"/>
          <w:color w:val="000000"/>
          <w:sz w:val="24"/>
          <w:u w:val="none"/>
        </w:rPr>
      </w:pPr>
      <w:r>
        <w:rPr>
          <w:rFonts w:ascii="Times New Roman" w:hAnsi="Times New Roman"/>
          <w:sz w:val="24"/>
        </w:rPr>
        <w:t>Глава 2. ФОРМЫ УВЕКОВЕЧЕНИЯ ПАМЯТИ ПОГИБШИХ (УМЕРШИХ) УРОЖЕНЦЕВ СЕЛЬСКОГО ПОСЕЛЕНИЯ АЛАКАЕВКА МУНИЦИПАЛЬНОГО РАЙОНА КИНЕЛЬСКИЙ</w:t>
      </w:r>
      <w:r>
        <w:rPr>
          <w:rFonts w:ascii="Times New Roman" w:hAnsi="Times New Roman"/>
          <w:i w:val="0"/>
          <w:sz w:val="24"/>
        </w:rPr>
        <w:t xml:space="preserve"> </w:t>
      </w:r>
      <w:r>
        <w:rPr>
          <w:rFonts w:ascii="Times New Roman" w:hAnsi="Times New Roman"/>
          <w:sz w:val="24"/>
        </w:rPr>
        <w:t>САМАРСКОЙ ОБЛАСТИ В ХОДЕ СПЕЦИАЛЬНОЙ ВОЕННОЙ ОПЕРАЦИИ</w:t>
      </w:r>
    </w:p>
    <w:p w14:paraId="32000000">
      <w:pPr>
        <w:widowControl w:val="0"/>
        <w:spacing w:after="0" w:line="240" w:lineRule="auto"/>
        <w:ind w:firstLine="709"/>
        <w:jc w:val="center"/>
        <w:rPr>
          <w:rFonts w:ascii="Times New Roman" w:hAnsi="Times New Roman"/>
          <w:sz w:val="24"/>
        </w:rPr>
      </w:pPr>
    </w:p>
    <w:p w14:paraId="33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 2.1. Основными формами увековечения памяти погибших (умерших) уроженцев сельского поселения Алакаевка муниципального района Кинельский Самарской области в ходе специальной военной операции являются: </w:t>
      </w:r>
    </w:p>
    <w:p w14:paraId="34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1) создание и ведение Книг Памяти о погибших (умерших) уроженцах сельского поселения Алакаевка муниципального района Кинельский Самарской области Самарской области в ходе специальной военной операции; </w:t>
      </w:r>
    </w:p>
    <w:p w14:paraId="35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2) присвоение имен погибших (умерших) уроженцев сельского поселения Алакаевка муниципального района Кинельский Самарской области в ходе специальной военной операции улицам и площадям, установка памятных знаков на фасадах и (или) внутри зданий, а также размещение баннеров на рекламных щитах (билбордах); </w:t>
      </w:r>
    </w:p>
    <w:p w14:paraId="36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3) создание уголков воинской доблести, музеев славы, выставок героических подвигах погибших (умерших) уроженцев сельского поселения Алакаевка муниципального района Кинельский Самарской области в ходе специальной военной операции; </w:t>
      </w:r>
    </w:p>
    <w:p w14:paraId="37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4) установка мемориальной доски, другого памятного знака, арт-объекта (в том числе мурала) погибшим (умершим) уроженцам сельского поселения Алакаевка муниципального района Кинельский Самарской области в ходе специальной военной операции;</w:t>
      </w:r>
    </w:p>
    <w:p w14:paraId="38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5) публикации в средствах массовой информации и в информационно-телекоммуникационной сети Интернет материалов о погибших (умерших) уроженцах сельского поселения Алакаевка муниципального района Кинельский Самарской области в ходе специальной военной операции, посвященных их подвигам;</w:t>
      </w:r>
    </w:p>
    <w:p w14:paraId="39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6) проведение военно-патриотических уроков, спортивных мероприятий, посвященных памяти погибших (умерших) уроженцев сельского поселения Алакаевка муниципального района Кинельский Самарской области в ходе специальной военной операции; </w:t>
      </w:r>
    </w:p>
    <w:p w14:paraId="3A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7) содействие деятельности патриотических клубов, молодежных организаций. </w:t>
      </w:r>
    </w:p>
    <w:p w14:paraId="3B000000">
      <w:pPr>
        <w:widowControl w:val="0"/>
        <w:spacing w:after="0" w:line="240" w:lineRule="auto"/>
        <w:ind w:firstLine="709"/>
        <w:jc w:val="both"/>
        <w:rPr>
          <w:rFonts w:ascii="Times New Roman" w:hAnsi="Times New Roman"/>
          <w:sz w:val="24"/>
        </w:rPr>
      </w:pPr>
    </w:p>
    <w:p w14:paraId="3C000000">
      <w:pPr>
        <w:widowControl w:val="0"/>
        <w:spacing w:after="0" w:line="240" w:lineRule="auto"/>
        <w:ind w:firstLine="0"/>
        <w:jc w:val="center"/>
        <w:rPr>
          <w:rFonts w:ascii="Times New Roman" w:hAnsi="Times New Roman"/>
          <w:color w:val="000000"/>
          <w:sz w:val="24"/>
          <w:u w:val="none"/>
        </w:rPr>
      </w:pPr>
      <w:r>
        <w:rPr>
          <w:rFonts w:ascii="Times New Roman" w:hAnsi="Times New Roman"/>
          <w:sz w:val="24"/>
        </w:rPr>
        <w:t xml:space="preserve">Глава 3. КРИТЕРИИ ДЛЯ ПРИНЯТИЯ РЕШЕНИЯ ОБ УСТАНОВКЕ МЕМОРИАЛЬНОЙ ДОСКИ, ДРУГОГО ПАМЯТНОГО ЗНАКА, АРТ-ОБЪЕКТА (В ТОМ ЧИСЛЕ МУРАЛА) </w:t>
      </w:r>
    </w:p>
    <w:p w14:paraId="3D000000">
      <w:pPr>
        <w:widowControl w:val="0"/>
        <w:spacing w:after="0" w:line="240" w:lineRule="auto"/>
        <w:ind w:firstLine="709"/>
        <w:jc w:val="center"/>
        <w:rPr>
          <w:rFonts w:ascii="Times New Roman" w:hAnsi="Times New Roman"/>
          <w:sz w:val="24"/>
        </w:rPr>
      </w:pPr>
    </w:p>
    <w:p w14:paraId="3E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3.1. Критерием для принятия решения об установке мемориальной доски, других памятных знаков, арт-объекта (в том числе мурала) является наличие достоверных сведений, подтвержденных документально, о проявлении особого героизма, мужества, смелости, отваги увековечиваемого лица. </w:t>
      </w:r>
    </w:p>
    <w:p w14:paraId="3F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3.2. Рассмотрение вопроса об установке мемориальной доски, другого памятного знака, арт-объекта (в том числе мурала) производится по истечении не менее 6 месяцев и не позднее 5 лет со дня окончания специальной военной операции.</w:t>
      </w:r>
    </w:p>
    <w:p w14:paraId="40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3.3. На лиц, удостоенных звания Героя Российской Федерации, награжденных орденом Мужества, ограничения по срокам обращения об установке мемориальной доски, другого памятного знака, арт-объекта (в том числе мурала) не распространяются. </w:t>
      </w:r>
    </w:p>
    <w:p w14:paraId="41000000">
      <w:pPr>
        <w:widowControl w:val="0"/>
        <w:spacing w:after="0" w:line="240" w:lineRule="auto"/>
        <w:ind w:firstLine="709"/>
        <w:jc w:val="center"/>
        <w:rPr>
          <w:rFonts w:ascii="Times New Roman" w:hAnsi="Times New Roman"/>
          <w:color w:val="000000"/>
          <w:sz w:val="24"/>
          <w:u w:val="none"/>
        </w:rPr>
      </w:pPr>
    </w:p>
    <w:p w14:paraId="42000000">
      <w:pPr>
        <w:widowControl w:val="0"/>
        <w:spacing w:after="0" w:line="240" w:lineRule="auto"/>
        <w:ind w:firstLine="0"/>
        <w:jc w:val="center"/>
        <w:rPr>
          <w:rFonts w:ascii="Times New Roman" w:hAnsi="Times New Roman"/>
          <w:color w:val="000000"/>
          <w:sz w:val="24"/>
          <w:u w:val="none"/>
        </w:rPr>
      </w:pPr>
      <w:r>
        <w:rPr>
          <w:rFonts w:ascii="Times New Roman" w:hAnsi="Times New Roman"/>
          <w:sz w:val="24"/>
        </w:rPr>
        <w:t>Глава 4. ПОРЯДОК НАПРАВЛЕНИЯ ХОДАТАЙСТВ ОБ УСТАНОВКЕ МЕМОРИАЛЬНОЙ ДОСКИ, ДРУГОГО ПАМЯТНОГО ЗНАКА, АРТ-ОБЪЕКТА (В ТОМ ЧИСЛЕ МУРАЛА)</w:t>
      </w:r>
    </w:p>
    <w:p w14:paraId="43000000">
      <w:pPr>
        <w:widowControl w:val="0"/>
        <w:spacing w:after="0" w:line="240" w:lineRule="auto"/>
        <w:ind w:firstLine="709"/>
        <w:jc w:val="center"/>
        <w:rPr>
          <w:rFonts w:ascii="Times New Roman" w:hAnsi="Times New Roman"/>
          <w:sz w:val="24"/>
        </w:rPr>
      </w:pPr>
    </w:p>
    <w:p w14:paraId="44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 4.1. С инициативой об установке мемориальной доски, другого памятного знака, артобъекта (в том числе мурала) могут выступать органы государственной власти, органы местного самоуправления, общественные и религиозные объединения, трудовые коллективы предприятий, учреждений, организаций, физические лица (далее – инициатор).</w:t>
      </w:r>
    </w:p>
    <w:p w14:paraId="45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4.2. Письменное ходатайство об установке мемориальной доски, другого памятного знака, арт-объекта (в том числе мурала), содержащее просьбу об увековечении памяти погибшего (умершего) уроженца сельского поселения Алакаевка муниципального района Кинельский Самарской области при выполнении воинского долга в ходе специальной военной операции лица (далее – ходатайство), и документы, указанные в пункте 4.3 настоящего Положения направляются в администрацию муниципального района Кинельский Самарской области на имя Главы  сельского поселения Алакаевка муниципального района Кинельский Самарской области.</w:t>
      </w:r>
    </w:p>
    <w:p w14:paraId="46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4.3. В перечень документов, представляемых для увековечения, входят: </w:t>
      </w:r>
    </w:p>
    <w:p w14:paraId="47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1) ходатайство гражданина (организации); </w:t>
      </w:r>
    </w:p>
    <w:p w14:paraId="48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2) историческая или историко-биографическая справка об увековечиваемом защитнике Отечества; копии архивных, наградных документов, подтверждающих достоверность события или заслуги увековечиваемого лица; </w:t>
      </w:r>
    </w:p>
    <w:p w14:paraId="49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3) выписка из домовой книги с указанием периода проживания увековечиваемого лица по месту увековечения; </w:t>
      </w:r>
    </w:p>
    <w:p w14:paraId="4A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4) предложение по форме увековечения; сведения о предполагаемом месте установки мемориальной доски, другого памятного знака, арт-объекта (в том числе мурала) с обоснованием его выбора; </w:t>
      </w:r>
    </w:p>
    <w:p w14:paraId="4B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5) предложение по тексту надписи; </w:t>
      </w:r>
    </w:p>
    <w:p w14:paraId="4C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6) письменное обязательство ходатайствующего субъекта (инициатора) о финансировании работ по проектированию, изготовлению, установке и техническому обеспечению торжественного открытия мемориальной доски, другого памятного знака, арт-объекта (в том числе мурала) производятся за счет инициатора; </w:t>
      </w:r>
    </w:p>
    <w:p w14:paraId="4D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7) письменное обязательство ходатайствующего гражданина о финансировании работ, либо уведомление о невозможности осуществления финансирования. </w:t>
      </w:r>
    </w:p>
    <w:p w14:paraId="4E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4.4. Место установки мемориальной доски, другого памятного знака, арт-объекта (в том числе мурала) должно быть одобрено Комиссией муниципального района Кинельский</w:t>
      </w:r>
      <w:r>
        <w:rPr>
          <w:rFonts w:ascii="Times New Roman" w:hAnsi="Times New Roman"/>
          <w:b w:val="0"/>
          <w:color w:val="000000"/>
          <w:sz w:val="24"/>
          <w:u w:val="none"/>
        </w:rPr>
        <w:t xml:space="preserve"> </w:t>
      </w:r>
      <w:r>
        <w:rPr>
          <w:rFonts w:ascii="Times New Roman" w:hAnsi="Times New Roman"/>
          <w:sz w:val="24"/>
        </w:rPr>
        <w:t xml:space="preserve">Самарской области и собственником здания. </w:t>
      </w:r>
    </w:p>
    <w:p w14:paraId="4F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Администрация сельского поселения Алакаевка муниципального района Кинельский Самарской области может отказать в согласовании места установки мемориальной доски, другого памятного знака, арт-объекта (в том числе мурала) в случае запланированного сноса или капитального ремонта здания, на котором инициатором предполагается установить мемориальную доску. </w:t>
      </w:r>
    </w:p>
    <w:p w14:paraId="50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В случае отказа в согласовании места установки мемориальной доски, другого памятного знака, арт-объекта (в том числе мурала) администрация сельского поселения Алакаевка муниципального района Кинельский Самарской области направляет свое мотивированное заключение в Комиссию  муниципального района Кинельский Самарской области для предварительного рассмотрения вопросов, связанных с увековечением памяти о выдающихся событиях и личностях (далее – Комиссия).</w:t>
      </w:r>
    </w:p>
    <w:p w14:paraId="51000000">
      <w:pPr>
        <w:widowControl w:val="0"/>
        <w:spacing w:after="0" w:line="240" w:lineRule="auto"/>
        <w:ind w:firstLine="709"/>
        <w:jc w:val="center"/>
        <w:rPr>
          <w:rFonts w:ascii="Times New Roman" w:hAnsi="Times New Roman"/>
          <w:color w:val="000000"/>
          <w:sz w:val="24"/>
          <w:u w:val="none"/>
        </w:rPr>
      </w:pPr>
    </w:p>
    <w:p w14:paraId="52000000">
      <w:pPr>
        <w:widowControl w:val="0"/>
        <w:spacing w:after="0" w:line="240" w:lineRule="auto"/>
        <w:ind w:firstLine="0"/>
        <w:jc w:val="center"/>
        <w:rPr>
          <w:rFonts w:ascii="Times New Roman" w:hAnsi="Times New Roman"/>
          <w:color w:val="000000"/>
          <w:sz w:val="24"/>
          <w:u w:val="none"/>
        </w:rPr>
      </w:pPr>
      <w:r>
        <w:rPr>
          <w:rFonts w:ascii="Times New Roman" w:hAnsi="Times New Roman"/>
          <w:sz w:val="24"/>
        </w:rPr>
        <w:t>Глава 5. ПОРЯДОК РАССМОТРЕНИЯ ХОДАТАЙСТВ И ПРИНЯТИЯ РЕШЕНИЙ ПО НИМ</w:t>
      </w:r>
    </w:p>
    <w:p w14:paraId="53000000">
      <w:pPr>
        <w:widowControl w:val="0"/>
        <w:spacing w:after="0" w:line="240" w:lineRule="auto"/>
        <w:ind w:firstLine="709"/>
        <w:jc w:val="center"/>
        <w:rPr>
          <w:rFonts w:ascii="Times New Roman" w:hAnsi="Times New Roman"/>
          <w:sz w:val="24"/>
        </w:rPr>
      </w:pPr>
    </w:p>
    <w:p w14:paraId="54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5.1. Поступившее на имя Главы сельского поселения Алакаевка муниципального района Кинельский Самарской области ходатайство и документы в течение 2 рабочих дней передаются на рассмотрение Комиссии. </w:t>
      </w:r>
    </w:p>
    <w:p w14:paraId="55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5.2. Комиссия рассматривает ходатайство и проверяет прилагаемые к нему документы в течение 20 календарных дней со дня их регистрации. </w:t>
      </w:r>
    </w:p>
    <w:p w14:paraId="56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5.3. Комиссия вправе провести опрос общественного мнения по рассматриваемым ходатайствам. </w:t>
      </w:r>
    </w:p>
    <w:p w14:paraId="57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5.4. По результатам рассмотрения ходатайства и документов, указанных в пункте 4.3 настоящего Положения, Комиссия принимает одно из следующих решений: </w:t>
      </w:r>
    </w:p>
    <w:p w14:paraId="58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1) поддержать ходатайство и определить ответственных должностных лиц за реализацию ходатайства, сроки, порядок проведения работ по увековечению памяти (перечень заинтересованных органов и организаций, участвующих в мероприятиях, определение объема финансово-экономических затрат, выделение финансовых средств, сил для выполнения работ и т.д.); </w:t>
      </w:r>
    </w:p>
    <w:p w14:paraId="59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2) рекомендовать ходатайствующей стороне увековечить память погибшего в других формах; </w:t>
      </w:r>
    </w:p>
    <w:p w14:paraId="5A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3) перенести рассмотрение ходатайств на срок, определяемый Комиссией  муниципального района Кинельский Самарской области, в связи с необходимостью получения дополнительных сведений и документов или по другим причинам, установленным Комиссией муниципального района Кинельский Самарской области; </w:t>
      </w:r>
    </w:p>
    <w:p w14:paraId="5B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5.5. Решения, принятые Комиссией, оформляются протоколом.</w:t>
      </w:r>
    </w:p>
    <w:p w14:paraId="5C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 5.6. При принятии решения, предусмотренного подпунктом 1 пункта 5.4 настоящего Положения, Комиссия готовит проект постановления администрации сельского поселения Алакаевка муниципального района Кинельский Самарской области об установке мемориальной доски, другого памятного знака и направляет его на подписание Главе сельского поселения Алакаевка муниципального района Кинельский</w:t>
      </w:r>
      <w:r>
        <w:rPr>
          <w:rFonts w:ascii="Times New Roman" w:hAnsi="Times New Roman"/>
          <w:b w:val="0"/>
          <w:color w:val="000000"/>
          <w:sz w:val="24"/>
          <w:u w:val="none"/>
        </w:rPr>
        <w:t xml:space="preserve"> </w:t>
      </w:r>
      <w:r>
        <w:rPr>
          <w:rFonts w:ascii="Times New Roman" w:hAnsi="Times New Roman"/>
          <w:sz w:val="24"/>
        </w:rPr>
        <w:t xml:space="preserve">Самарской области. </w:t>
      </w:r>
    </w:p>
    <w:p w14:paraId="5D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5.7. В случае принятия решения об отклонении ходатайства об установке произведения монументального искусства Комиссия направляет его инициатору вместе с заключением не позднее 5 дней со дня принятия такого решения. </w:t>
      </w:r>
    </w:p>
    <w:p w14:paraId="5E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5.8. В постановлении администрации сельского поселения Алакаевка муниципального района Кинельский Самарской области об установке мемориальной доски, другого памятного знака указываются: </w:t>
      </w:r>
    </w:p>
    <w:p w14:paraId="5F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1) адрес места установки мемориальной доски, другого памятного знака; </w:t>
      </w:r>
    </w:p>
    <w:p w14:paraId="60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2) содержание надписи; </w:t>
      </w:r>
    </w:p>
    <w:p w14:paraId="61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3) срок установки мемориальной доски, другого памятного знака; </w:t>
      </w:r>
    </w:p>
    <w:p w14:paraId="62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4) источник финансового обеспечения работ по проектированию, изготовлению и установке мемориальной доски, другого памятного знака; </w:t>
      </w:r>
    </w:p>
    <w:p w14:paraId="63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5) ответственное лицо. </w:t>
      </w:r>
    </w:p>
    <w:p w14:paraId="64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Предельный срок эксплуатации баннера: Вертикального – 2 месяца; Горизонтального – 3 месяца. </w:t>
      </w:r>
    </w:p>
    <w:p w14:paraId="65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Хранение демонтированного баннера осуществляется администрацией сельского поселения Алакаевка муниципального района Кинельский Самарской области в течение 1 месяца. </w:t>
      </w:r>
    </w:p>
    <w:p w14:paraId="66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Члены семьи погибшего в течение указанного срока имеют право забрать баннер.</w:t>
      </w:r>
    </w:p>
    <w:p w14:paraId="67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По истечении месячного срока баннер подлежит дальнейшей утилизации.</w:t>
      </w:r>
    </w:p>
    <w:p w14:paraId="68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5.9. Мемориальная доска, другой памятный знак устанавливаются за счет бюджетных средств сельского поселения Алакаевка муниципального района Кинельский Самарской области.</w:t>
      </w:r>
    </w:p>
    <w:p w14:paraId="69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 Допускается также установка мемориальной доски, другого памятного знака за счет внебюджетных средств. </w:t>
      </w:r>
    </w:p>
    <w:p w14:paraId="6A000000">
      <w:pPr>
        <w:widowControl w:val="0"/>
        <w:spacing w:after="0" w:line="240" w:lineRule="auto"/>
        <w:ind w:firstLine="0"/>
        <w:jc w:val="center"/>
        <w:rPr>
          <w:rFonts w:ascii="Times New Roman" w:hAnsi="Times New Roman"/>
          <w:color w:val="000000"/>
          <w:sz w:val="24"/>
          <w:u w:val="none"/>
        </w:rPr>
      </w:pPr>
    </w:p>
    <w:p w14:paraId="6B000000">
      <w:pPr>
        <w:widowControl w:val="0"/>
        <w:spacing w:after="0" w:line="240" w:lineRule="auto"/>
        <w:ind w:firstLine="0"/>
        <w:jc w:val="center"/>
        <w:rPr>
          <w:rFonts w:ascii="Times New Roman" w:hAnsi="Times New Roman"/>
          <w:color w:val="000000"/>
          <w:sz w:val="24"/>
          <w:u w:val="none"/>
        </w:rPr>
      </w:pPr>
      <w:r>
        <w:rPr>
          <w:rFonts w:ascii="Times New Roman" w:hAnsi="Times New Roman"/>
          <w:sz w:val="24"/>
        </w:rPr>
        <w:t>Глава 6. АРХИТЕКТУРНО-ХУДОЖЕСТВЕННЫЕ ТРЕБОВАНИЯ, ПРЕДЪЯВЛЯЕМЫЕ К МЕМОРИАЛЬНОЙ ДОСКЕ, ДРУГОМУ ПАМЯТНОМУ ЗНАКУ, АРТ-ОБЪЕКТА (В ТОМ ЧИСЛЕ МУРАЛА)</w:t>
      </w:r>
    </w:p>
    <w:p w14:paraId="6C000000">
      <w:pPr>
        <w:widowControl w:val="0"/>
        <w:spacing w:after="0" w:line="240" w:lineRule="auto"/>
        <w:ind w:firstLine="709"/>
        <w:jc w:val="both"/>
        <w:rPr>
          <w:rFonts w:ascii="Times New Roman" w:hAnsi="Times New Roman"/>
          <w:color w:val="000000"/>
          <w:sz w:val="24"/>
          <w:u w:val="none"/>
        </w:rPr>
      </w:pPr>
    </w:p>
    <w:p w14:paraId="6D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6.1. Архитектурно-художественное решение мемориальной доски, другого памятного знака, арт-объекта (в том числе мурала) не должно противоречить характеру места его установки, особенностям среды, в которую он привносится как новый элемент. </w:t>
      </w:r>
    </w:p>
    <w:p w14:paraId="6E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6.2. При согласовании проекта и места установки мемориальной доски, другого памятного знака, арт-объекта (в том числе мурала) учитываются следующие требования: </w:t>
      </w:r>
    </w:p>
    <w:p w14:paraId="6F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1) текст мемориальной доски, другого памятного знака, арт-объекта (в том числе мурала) должен быть оформлен в лаконичной форме и содержать полностью фамилию, имя, отчество увековечиваемого лица на русском языке; </w:t>
      </w:r>
    </w:p>
    <w:p w14:paraId="70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2) в тексте мемориальной доски, другого памятного знака, арт-объекта (в том числе мурала) обязательны сведения о заслугах увековечиваемого лица; </w:t>
      </w:r>
    </w:p>
    <w:p w14:paraId="71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3) в композицию мемориальной доски кроме текста могут включаться портретные изображения, декоративные элементы, подсветка; </w:t>
      </w:r>
    </w:p>
    <w:p w14:paraId="72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 xml:space="preserve">4) мемориальная доска, другой памятный знак выполняются из долговечного камня (мрамор, гранит) или металлического сплава (бронза, чугун); </w:t>
      </w:r>
    </w:p>
    <w:p w14:paraId="73000000">
      <w:pPr>
        <w:widowControl w:val="0"/>
        <w:spacing w:after="0" w:line="240" w:lineRule="auto"/>
        <w:ind w:firstLine="709"/>
        <w:jc w:val="both"/>
        <w:rPr>
          <w:rFonts w:ascii="Times New Roman" w:hAnsi="Times New Roman"/>
          <w:color w:val="000000"/>
          <w:sz w:val="24"/>
          <w:u w:val="none"/>
        </w:rPr>
      </w:pPr>
      <w:r>
        <w:rPr>
          <w:rFonts w:ascii="Times New Roman" w:hAnsi="Times New Roman"/>
          <w:sz w:val="24"/>
        </w:rPr>
        <w:t>5) мемориальная доска, другой памятный знак устанавливаются в хорошо просматриваемых местах на высоте не ниже двух метров (на фасадах или внутри зданий).</w:t>
      </w:r>
    </w:p>
    <w:sectPr>
      <w:headerReference r:id="rId5" w:type="default"/>
      <w:footerReference r:id="rId6" w:type="default"/>
      <w:pgSz w:w="11906" w:h="16838"/>
      <w:pgMar w:top="1134" w:right="851" w:bottom="1134" w:left="1701" w:header="708" w:footer="708" w:gutter="0"/>
      <w:cols w:space="720" w:num="1"/>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Courier New">
    <w:panose1 w:val="02070309020205020404"/>
    <w:charset w:val="00"/>
    <w:family w:val="modern"/>
    <w:pitch w:val="default"/>
    <w:sig w:usb0="E0002EFF" w:usb1="C0007843" w:usb2="00000009" w:usb3="00000000" w:csb0="400001FF" w:csb1="FFFF0000"/>
  </w:font>
  <w:font w:name="黑体">
    <w:altName w:val="SimSun"/>
    <w:panose1 w:val="02010609060101010101"/>
    <w:charset w:val="86"/>
    <w:family w:val="modern"/>
    <w:pitch w:val="default"/>
    <w:sig w:usb0="800002BF" w:usb1="38CF7CFA" w:usb2="00000016" w:usb3="00000000" w:csb0="00040001" w:csb1="0000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XO Thames">
    <w:altName w:val="Segoe Print"/>
    <w:panose1 w:val="00000000000000000000"/>
    <w:charset w:val="00"/>
    <w:family w:val="auto"/>
    <w:pitch w:val="default"/>
    <w:sig w:usb0="00000000" w:usb1="00000000" w:usb2="00000000" w:usb3="00000000" w:csb0="00000000" w:csb1="00000000"/>
  </w:font>
  <w:font w:name="Segoe UI">
    <w:panose1 w:val="020B0502040204020203"/>
    <w:charset w:val="00"/>
    <w:family w:val="auto"/>
    <w:pitch w:val="default"/>
    <w:sig w:usb0="E4002EFF" w:usb1="C000E47F" w:usb2="00000009" w:usb3="00000000" w:csb0="200001FF" w:csb1="00000000"/>
  </w:font>
  <w:font w:name="黑体">
    <w:altName w:val="SimSun"/>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3000000">
    <w:pPr>
      <w:pStyle w:val="22"/>
      <w:widowControl w:val="0"/>
      <w:jc w:val="center"/>
    </w:pPr>
  </w:p>
  <w:p w14:paraId="04000000">
    <w:pPr>
      <w:pStyle w:val="22"/>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1000000">
    <w:pPr>
      <w:pStyle w:val="12"/>
      <w:widowControl w:val="0"/>
      <w:jc w:val="center"/>
    </w:pPr>
    <w:r>
      <w:fldChar w:fldCharType="begin"/>
    </w:r>
    <w:r>
      <w:instrText xml:space="preserve">PAGE </w:instrText>
    </w:r>
    <w:r>
      <w:fldChar w:fldCharType="separate"/>
    </w:r>
    <w:r>
      <w:t xml:space="preserve"> </w:t>
    </w:r>
    <w:r>
      <w:fldChar w:fldCharType="end"/>
    </w:r>
  </w:p>
  <w:p w14:paraId="02000000">
    <w:pPr>
      <w:pStyle w:val="12"/>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53208E"/>
    <w:multiLevelType w:val="multilevel"/>
    <w:tmpl w:val="0053208E"/>
    <w:lvl w:ilvl="0" w:tentative="0">
      <w:start w:val="1"/>
      <w:numFmt w:val="decimal"/>
      <w:lvlText w:val="%1."/>
      <w:lvlJc w:val="left"/>
      <w:pPr>
        <w:widowControl w:val="0"/>
        <w:ind w:left="720" w:hanging="360"/>
      </w:pPr>
    </w:lvl>
    <w:lvl w:ilvl="1" w:tentative="0">
      <w:start w:val="1"/>
      <w:numFmt w:val="lowerLetter"/>
      <w:lvlText w:val="%2."/>
      <w:lvlJc w:val="left"/>
      <w:pPr>
        <w:widowControl w:val="0"/>
        <w:ind w:left="1440" w:hanging="360"/>
      </w:pPr>
    </w:lvl>
    <w:lvl w:ilvl="2" w:tentative="0">
      <w:start w:val="1"/>
      <w:numFmt w:val="lowerRoman"/>
      <w:lvlText w:val="%3."/>
      <w:lvlJc w:val="right"/>
      <w:pPr>
        <w:widowControl w:val="0"/>
        <w:ind w:left="2160" w:hanging="360"/>
      </w:pPr>
    </w:lvl>
    <w:lvl w:ilvl="3" w:tentative="0">
      <w:start w:val="1"/>
      <w:numFmt w:val="decimal"/>
      <w:lvlText w:val="%4."/>
      <w:lvlJc w:val="left"/>
      <w:pPr>
        <w:widowControl w:val="0"/>
        <w:ind w:left="2880" w:hanging="360"/>
      </w:pPr>
    </w:lvl>
    <w:lvl w:ilvl="4" w:tentative="0">
      <w:start w:val="1"/>
      <w:numFmt w:val="lowerLetter"/>
      <w:lvlText w:val="%5."/>
      <w:lvlJc w:val="left"/>
      <w:pPr>
        <w:widowControl w:val="0"/>
        <w:ind w:left="3600" w:hanging="360"/>
      </w:pPr>
    </w:lvl>
    <w:lvl w:ilvl="5" w:tentative="0">
      <w:start w:val="1"/>
      <w:numFmt w:val="lowerRoman"/>
      <w:lvlText w:val="%6."/>
      <w:lvlJc w:val="right"/>
      <w:pPr>
        <w:widowControl w:val="0"/>
        <w:ind w:left="4320" w:hanging="360"/>
      </w:pPr>
    </w:lvl>
    <w:lvl w:ilvl="6" w:tentative="0">
      <w:start w:val="1"/>
      <w:numFmt w:val="decimal"/>
      <w:lvlText w:val="%7."/>
      <w:lvlJc w:val="left"/>
      <w:pPr>
        <w:widowControl w:val="0"/>
        <w:ind w:left="5040" w:hanging="360"/>
      </w:pPr>
    </w:lvl>
    <w:lvl w:ilvl="7" w:tentative="0">
      <w:start w:val="1"/>
      <w:numFmt w:val="lowerLetter"/>
      <w:lvlText w:val="%8."/>
      <w:lvlJc w:val="left"/>
      <w:pPr>
        <w:widowControl w:val="0"/>
        <w:ind w:left="5760" w:hanging="360"/>
      </w:pPr>
    </w:lvl>
    <w:lvl w:ilvl="8" w:tentative="0">
      <w:start w:val="1"/>
      <w:numFmt w:val="lowerRoman"/>
      <w:lvlText w:val="%9."/>
      <w:lvlJc w:val="right"/>
      <w:pPr>
        <w:widowControl w:val="0"/>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documentProtection w:enforcement="0"/>
  <w:defaultTabStop w:val="708"/>
  <w:footnotePr>
    <w:footnote w:id="0"/>
    <w:footnote w:id="1"/>
  </w:footnotePr>
  <w:endnotePr>
    <w:endnote w:id="0"/>
    <w:endnote w:id="1"/>
  </w:endnotePr>
  <w:compat>
    <w:compatSetting w:name="compatibilityMode" w:uri="http://schemas.microsoft.com/office/word" w:val="15"/>
  </w:compat>
  <w:rsids>
    <w:rsidRoot w:val="00000000"/>
    <w:rsid w:val="07426476"/>
    <w:rsid w:val="14B95318"/>
    <w:rsid w:val="2B0837A3"/>
    <w:rsid w:val="3DC110E1"/>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Asci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9" w:semiHidden="0" w:name="heading 2"/>
    <w:lsdException w:qFormat="1" w:unhideWhenUsed="0" w:uiPriority="9" w:semiHidden="0" w:name="heading 3"/>
    <w:lsdException w:qFormat="1" w:unhideWhenUsed="0" w:uiPriority="9" w:semiHidden="0" w:name="heading 4"/>
    <w:lsdException w:qFormat="1" w:unhideWhenUsed="0" w:uiPriority="9" w:semiHidden="0"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nhideWhenUsed="0" w:uiPriority="39" w:semiHidden="0" w:name="toc 1"/>
    <w:lsdException w:qFormat="1" w:unhideWhenUsed="0" w:uiPriority="39" w:semiHidden="0" w:name="toc 2"/>
    <w:lsdException w:qFormat="1" w:unhideWhenUsed="0" w:uiPriority="39" w:semiHidden="0" w:name="toc 3"/>
    <w:lsdException w:unhideWhenUsed="0" w:uiPriority="39" w:semiHidden="0" w:name="toc 4"/>
    <w:lsdException w:qFormat="1" w:unhideWhenUsed="0" w:uiPriority="39" w:semiHidden="0" w:name="toc 5"/>
    <w:lsdException w:unhideWhenUsed="0" w:uiPriority="39" w:semiHidden="0" w:name="toc 6"/>
    <w:lsdException w:unhideWhenUsed="0" w:uiPriority="39" w:semiHidden="0" w:name="toc 7"/>
    <w:lsdException w:unhideWhenUsed="0" w:uiPriority="39" w:semiHidden="0" w:name="toc 8"/>
    <w:lsdException w:unhideWhenUsed="0" w:uiPriority="39" w:semiHidden="0" w:name="toc 9"/>
    <w:lsdException w:uiPriority="99" w:name="Normal Indent"/>
    <w:lsdException w:uiPriority="99" w:name="footnote text"/>
    <w:lsdException w:uiPriority="99" w:name="annotation text"/>
    <w:lsdException w:qFormat="1" w:unhideWhenUsed="0" w:uiPriority="0" w:semiHidden="0" w:name="header"/>
    <w:lsdException w:qFormat="1" w:unhideWhenUsed="0" w:uiPriority="0"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nhideWhenUsed="0" w:uiPriority="0"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nhideWhenUsed="0" w:uiPriority="0" w:semiHidden="0" w:name="Hyperlink"/>
    <w:lsdException w:uiPriority="99" w:name="FollowedHyperlink"/>
    <w:lsdException w:uiPriority="99" w:name="Strong"/>
    <w:lsdException w:uiPriority="99"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nhideWhenUsed="0" w:uiPriority="0"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uiPriority="99" w:name="Table Grid"/>
    <w:lsdException w:uiPriority="99" w:name="Table Theme"/>
    <w:lsdException w:unhideWhenUsed="0" w:uiPriority="0" w:semiHidden="0" w:name="List Paragraph"/>
  </w:latentStyles>
  <w:style w:type="paragraph" w:default="1" w:styleId="1">
    <w:name w:val="Normal"/>
    <w:qFormat/>
    <w:uiPriority w:val="0"/>
    <w:pPr>
      <w:widowControl w:val="0"/>
      <w:spacing w:before="0" w:after="200" w:line="276" w:lineRule="auto"/>
      <w:ind w:left="0" w:right="0" w:firstLine="0"/>
      <w:jc w:val="left"/>
    </w:pPr>
    <w:rPr>
      <w:rFonts w:asciiTheme="minorAscii" w:hAnsiTheme="minorHAnsi"/>
      <w:color w:val="000000"/>
      <w:spacing w:val="0"/>
      <w:sz w:val="22"/>
    </w:rPr>
  </w:style>
  <w:style w:type="paragraph" w:styleId="2">
    <w:name w:val="heading 1"/>
    <w:next w:val="1"/>
    <w:qFormat/>
    <w:uiPriority w:val="9"/>
    <w:pPr>
      <w:widowControl w:val="0"/>
      <w:spacing w:before="120" w:after="120" w:line="276" w:lineRule="auto"/>
      <w:ind w:left="0" w:right="0" w:firstLine="0"/>
      <w:jc w:val="both"/>
      <w:outlineLvl w:val="0"/>
    </w:pPr>
    <w:rPr>
      <w:rFonts w:ascii="XO Thames" w:hAnsi="XO Thames"/>
      <w:b/>
      <w:color w:val="000000"/>
      <w:spacing w:val="0"/>
      <w:sz w:val="32"/>
    </w:rPr>
  </w:style>
  <w:style w:type="paragraph" w:styleId="3">
    <w:name w:val="heading 2"/>
    <w:next w:val="1"/>
    <w:qFormat/>
    <w:uiPriority w:val="9"/>
    <w:pPr>
      <w:widowControl w:val="0"/>
      <w:spacing w:before="120" w:after="120" w:line="276" w:lineRule="auto"/>
      <w:ind w:left="0" w:right="0" w:firstLine="0"/>
      <w:jc w:val="both"/>
      <w:outlineLvl w:val="1"/>
    </w:pPr>
    <w:rPr>
      <w:rFonts w:ascii="XO Thames" w:hAnsi="XO Thames"/>
      <w:b/>
      <w:color w:val="000000"/>
      <w:spacing w:val="0"/>
      <w:sz w:val="28"/>
    </w:rPr>
  </w:style>
  <w:style w:type="paragraph" w:styleId="4">
    <w:name w:val="heading 3"/>
    <w:next w:val="1"/>
    <w:qFormat/>
    <w:uiPriority w:val="9"/>
    <w:pPr>
      <w:widowControl w:val="0"/>
      <w:spacing w:before="120" w:after="120" w:line="276" w:lineRule="auto"/>
      <w:ind w:left="0" w:right="0" w:firstLine="0"/>
      <w:jc w:val="both"/>
      <w:outlineLvl w:val="2"/>
    </w:pPr>
    <w:rPr>
      <w:rFonts w:ascii="XO Thames" w:hAnsi="XO Thames"/>
      <w:b/>
      <w:color w:val="000000"/>
      <w:spacing w:val="0"/>
      <w:sz w:val="26"/>
    </w:rPr>
  </w:style>
  <w:style w:type="paragraph" w:styleId="5">
    <w:name w:val="heading 4"/>
    <w:next w:val="1"/>
    <w:qFormat/>
    <w:uiPriority w:val="9"/>
    <w:pPr>
      <w:widowControl w:val="0"/>
      <w:spacing w:before="120" w:after="120" w:line="276" w:lineRule="auto"/>
      <w:ind w:left="0" w:right="0" w:firstLine="0"/>
      <w:jc w:val="both"/>
      <w:outlineLvl w:val="3"/>
    </w:pPr>
    <w:rPr>
      <w:rFonts w:ascii="XO Thames" w:hAnsi="XO Thames"/>
      <w:b/>
      <w:color w:val="000000"/>
      <w:spacing w:val="0"/>
      <w:sz w:val="24"/>
    </w:rPr>
  </w:style>
  <w:style w:type="paragraph" w:styleId="6">
    <w:name w:val="heading 5"/>
    <w:next w:val="1"/>
    <w:qFormat/>
    <w:uiPriority w:val="9"/>
    <w:pPr>
      <w:widowControl w:val="0"/>
      <w:spacing w:before="120" w:after="120" w:line="276" w:lineRule="auto"/>
      <w:ind w:left="0" w:right="0" w:firstLine="0"/>
      <w:jc w:val="both"/>
      <w:outlineLvl w:val="4"/>
    </w:pPr>
    <w:rPr>
      <w:rFonts w:ascii="XO Thames" w:hAnsi="XO Thames"/>
      <w:b/>
      <w:color w:val="000000"/>
      <w:spacing w:val="0"/>
      <w:sz w:val="22"/>
    </w:rPr>
  </w:style>
  <w:style w:type="character" w:default="1" w:styleId="7">
    <w:name w:val="Default Paragraph Font"/>
    <w:qFormat/>
    <w:uiPriority w:val="0"/>
  </w:style>
  <w:style w:type="table" w:default="1" w:styleId="8">
    <w:name w:val="Normal Table"/>
    <w:qFormat/>
    <w:uiPriority w:val="0"/>
    <w:tblPr>
      <w:tblCellMar>
        <w:top w:w="0" w:type="dxa"/>
        <w:left w:w="108" w:type="dxa"/>
        <w:bottom w:w="0" w:type="dxa"/>
        <w:right w:w="108" w:type="dxa"/>
      </w:tblCellMar>
    </w:tblPr>
  </w:style>
  <w:style w:type="character" w:styleId="9">
    <w:name w:val="Hyperlink"/>
    <w:uiPriority w:val="0"/>
    <w:rPr>
      <w:color w:val="0000FF" w:themeColor="hyperlink"/>
      <w:u w:val="single"/>
      <w14:textFill>
        <w14:solidFill>
          <w14:schemeClr w14:val="hlink"/>
        </w14:solidFill>
      </w14:textFill>
    </w:rPr>
  </w:style>
  <w:style w:type="paragraph" w:styleId="10">
    <w:name w:val="Balloon Text"/>
    <w:basedOn w:val="1"/>
    <w:qFormat/>
    <w:uiPriority w:val="0"/>
    <w:pPr>
      <w:widowControl w:val="0"/>
      <w:spacing w:after="0" w:line="240" w:lineRule="auto"/>
    </w:pPr>
    <w:rPr>
      <w:rFonts w:ascii="Segoe UI" w:hAnsi="Segoe UI"/>
      <w:sz w:val="18"/>
    </w:rPr>
  </w:style>
  <w:style w:type="paragraph" w:styleId="11">
    <w:name w:val="toc 8"/>
    <w:next w:val="1"/>
    <w:uiPriority w:val="39"/>
    <w:pPr>
      <w:widowControl w:val="0"/>
      <w:spacing w:before="0" w:after="200" w:line="276" w:lineRule="auto"/>
      <w:ind w:left="1400" w:right="0" w:firstLine="0"/>
      <w:jc w:val="left"/>
    </w:pPr>
    <w:rPr>
      <w:rFonts w:ascii="XO Thames" w:hAnsi="XO Thames"/>
      <w:color w:val="000000"/>
      <w:spacing w:val="0"/>
      <w:sz w:val="28"/>
    </w:rPr>
  </w:style>
  <w:style w:type="paragraph" w:styleId="12">
    <w:name w:val="header"/>
    <w:basedOn w:val="1"/>
    <w:qFormat/>
    <w:uiPriority w:val="0"/>
    <w:pPr>
      <w:widowControl w:val="0"/>
      <w:tabs>
        <w:tab w:val="center" w:pos="4677"/>
        <w:tab w:val="right" w:pos="9355"/>
      </w:tabs>
      <w:spacing w:after="0" w:line="240" w:lineRule="auto"/>
    </w:pPr>
  </w:style>
  <w:style w:type="paragraph" w:styleId="13">
    <w:name w:val="toc 9"/>
    <w:next w:val="1"/>
    <w:uiPriority w:val="39"/>
    <w:pPr>
      <w:widowControl w:val="0"/>
      <w:spacing w:before="0" w:after="200" w:line="276" w:lineRule="auto"/>
      <w:ind w:left="1600" w:right="0" w:firstLine="0"/>
      <w:jc w:val="left"/>
    </w:pPr>
    <w:rPr>
      <w:rFonts w:ascii="XO Thames" w:hAnsi="XO Thames"/>
      <w:color w:val="000000"/>
      <w:spacing w:val="0"/>
      <w:sz w:val="28"/>
    </w:rPr>
  </w:style>
  <w:style w:type="paragraph" w:styleId="14">
    <w:name w:val="toc 7"/>
    <w:next w:val="1"/>
    <w:uiPriority w:val="39"/>
    <w:pPr>
      <w:widowControl w:val="0"/>
      <w:spacing w:before="0" w:after="200" w:line="276" w:lineRule="auto"/>
      <w:ind w:left="1200" w:right="0" w:firstLine="0"/>
      <w:jc w:val="left"/>
    </w:pPr>
    <w:rPr>
      <w:rFonts w:ascii="XO Thames" w:hAnsi="XO Thames"/>
      <w:color w:val="000000"/>
      <w:spacing w:val="0"/>
      <w:sz w:val="28"/>
    </w:rPr>
  </w:style>
  <w:style w:type="paragraph" w:styleId="15">
    <w:name w:val="toc 1"/>
    <w:next w:val="1"/>
    <w:uiPriority w:val="39"/>
    <w:pPr>
      <w:widowControl w:val="0"/>
      <w:spacing w:before="0" w:after="200" w:line="276" w:lineRule="auto"/>
      <w:ind w:left="0" w:right="0" w:firstLine="0"/>
      <w:jc w:val="left"/>
    </w:pPr>
    <w:rPr>
      <w:rFonts w:ascii="XO Thames" w:hAnsi="XO Thames"/>
      <w:b/>
      <w:color w:val="000000"/>
      <w:spacing w:val="0"/>
      <w:sz w:val="28"/>
    </w:rPr>
  </w:style>
  <w:style w:type="paragraph" w:styleId="16">
    <w:name w:val="toc 6"/>
    <w:next w:val="1"/>
    <w:uiPriority w:val="39"/>
    <w:pPr>
      <w:widowControl w:val="0"/>
      <w:spacing w:before="0" w:after="200" w:line="276" w:lineRule="auto"/>
      <w:ind w:left="1000" w:right="0" w:firstLine="0"/>
      <w:jc w:val="left"/>
    </w:pPr>
    <w:rPr>
      <w:rFonts w:ascii="XO Thames" w:hAnsi="XO Thames"/>
      <w:color w:val="000000"/>
      <w:spacing w:val="0"/>
      <w:sz w:val="28"/>
    </w:rPr>
  </w:style>
  <w:style w:type="paragraph" w:styleId="17">
    <w:name w:val="toc 3"/>
    <w:next w:val="1"/>
    <w:qFormat/>
    <w:uiPriority w:val="39"/>
    <w:pPr>
      <w:widowControl w:val="0"/>
      <w:spacing w:before="0" w:after="200" w:line="276" w:lineRule="auto"/>
      <w:ind w:left="400" w:right="0" w:firstLine="0"/>
      <w:jc w:val="left"/>
    </w:pPr>
    <w:rPr>
      <w:rFonts w:ascii="XO Thames" w:hAnsi="XO Thames"/>
      <w:color w:val="000000"/>
      <w:spacing w:val="0"/>
      <w:sz w:val="28"/>
    </w:rPr>
  </w:style>
  <w:style w:type="paragraph" w:styleId="18">
    <w:name w:val="toc 2"/>
    <w:next w:val="1"/>
    <w:qFormat/>
    <w:uiPriority w:val="39"/>
    <w:pPr>
      <w:widowControl w:val="0"/>
      <w:spacing w:before="0" w:after="200" w:line="276" w:lineRule="auto"/>
      <w:ind w:left="200" w:right="0" w:firstLine="0"/>
      <w:jc w:val="left"/>
    </w:pPr>
    <w:rPr>
      <w:rFonts w:ascii="XO Thames" w:hAnsi="XO Thames"/>
      <w:color w:val="000000"/>
      <w:spacing w:val="0"/>
      <w:sz w:val="28"/>
    </w:rPr>
  </w:style>
  <w:style w:type="paragraph" w:styleId="19">
    <w:name w:val="toc 4"/>
    <w:next w:val="1"/>
    <w:uiPriority w:val="39"/>
    <w:pPr>
      <w:widowControl w:val="0"/>
      <w:spacing w:before="0" w:after="200" w:line="276" w:lineRule="auto"/>
      <w:ind w:left="600" w:right="0" w:firstLine="0"/>
      <w:jc w:val="left"/>
    </w:pPr>
    <w:rPr>
      <w:rFonts w:ascii="XO Thames" w:hAnsi="XO Thames"/>
      <w:color w:val="000000"/>
      <w:spacing w:val="0"/>
      <w:sz w:val="28"/>
    </w:rPr>
  </w:style>
  <w:style w:type="paragraph" w:styleId="20">
    <w:name w:val="toc 5"/>
    <w:next w:val="1"/>
    <w:qFormat/>
    <w:uiPriority w:val="39"/>
    <w:pPr>
      <w:widowControl w:val="0"/>
      <w:spacing w:before="0" w:after="200" w:line="276" w:lineRule="auto"/>
      <w:ind w:left="800" w:right="0" w:firstLine="0"/>
      <w:jc w:val="left"/>
    </w:pPr>
    <w:rPr>
      <w:rFonts w:ascii="XO Thames" w:hAnsi="XO Thames"/>
      <w:color w:val="000000"/>
      <w:spacing w:val="0"/>
      <w:sz w:val="28"/>
    </w:rPr>
  </w:style>
  <w:style w:type="paragraph" w:styleId="21">
    <w:name w:val="Title"/>
    <w:next w:val="1"/>
    <w:qFormat/>
    <w:uiPriority w:val="10"/>
    <w:pPr>
      <w:widowControl w:val="0"/>
      <w:spacing w:before="567" w:after="567" w:line="276" w:lineRule="auto"/>
      <w:ind w:left="0" w:right="0" w:firstLine="0"/>
      <w:jc w:val="center"/>
    </w:pPr>
    <w:rPr>
      <w:rFonts w:ascii="XO Thames" w:hAnsi="XO Thames"/>
      <w:b/>
      <w:caps/>
      <w:color w:val="000000"/>
      <w:spacing w:val="0"/>
      <w:sz w:val="40"/>
    </w:rPr>
  </w:style>
  <w:style w:type="paragraph" w:styleId="22">
    <w:name w:val="footer"/>
    <w:basedOn w:val="1"/>
    <w:qFormat/>
    <w:uiPriority w:val="0"/>
    <w:pPr>
      <w:widowControl w:val="0"/>
      <w:tabs>
        <w:tab w:val="center" w:pos="4677"/>
        <w:tab w:val="right" w:pos="9355"/>
      </w:tabs>
      <w:spacing w:after="0" w:line="240" w:lineRule="auto"/>
    </w:pPr>
  </w:style>
  <w:style w:type="paragraph" w:styleId="23">
    <w:name w:val="Normal (Web)"/>
    <w:basedOn w:val="1"/>
    <w:qFormat/>
    <w:uiPriority w:val="0"/>
    <w:pPr>
      <w:widowControl w:val="0"/>
      <w:spacing w:beforeAutospacing="1" w:afterAutospacing="1" w:line="240" w:lineRule="auto"/>
    </w:pPr>
    <w:rPr>
      <w:rFonts w:ascii="Times New Roman" w:hAnsi="Times New Roman"/>
      <w:sz w:val="24"/>
    </w:rPr>
  </w:style>
  <w:style w:type="paragraph" w:styleId="24">
    <w:name w:val="Subtitle"/>
    <w:next w:val="1"/>
    <w:qFormat/>
    <w:uiPriority w:val="11"/>
    <w:pPr>
      <w:widowControl w:val="0"/>
      <w:spacing w:before="0" w:after="200" w:line="276" w:lineRule="auto"/>
      <w:ind w:left="0" w:right="0" w:firstLine="0"/>
      <w:jc w:val="both"/>
    </w:pPr>
    <w:rPr>
      <w:rFonts w:ascii="XO Thames" w:hAnsi="XO Thames"/>
      <w:i/>
      <w:color w:val="000000"/>
      <w:spacing w:val="0"/>
      <w:sz w:val="24"/>
    </w:rPr>
  </w:style>
  <w:style w:type="paragraph" w:customStyle="1" w:styleId="25">
    <w:name w:val="Endnote"/>
    <w:link w:val="26"/>
    <w:qFormat/>
    <w:uiPriority w:val="0"/>
    <w:pPr>
      <w:widowControl w:val="0"/>
      <w:spacing w:before="0" w:after="200" w:line="276" w:lineRule="auto"/>
      <w:ind w:left="0" w:right="0" w:firstLine="851"/>
      <w:jc w:val="both"/>
    </w:pPr>
    <w:rPr>
      <w:rFonts w:ascii="XO Thames" w:hAnsi="XO Thames"/>
      <w:color w:val="000000"/>
      <w:spacing w:val="0"/>
      <w:sz w:val="22"/>
    </w:rPr>
  </w:style>
  <w:style w:type="character" w:customStyle="1" w:styleId="26">
    <w:name w:val="Endnote1"/>
    <w:link w:val="25"/>
    <w:qFormat/>
    <w:uiPriority w:val="0"/>
    <w:rPr>
      <w:rFonts w:ascii="XO Thames" w:hAnsi="XO Thames"/>
      <w:sz w:val="22"/>
    </w:rPr>
  </w:style>
  <w:style w:type="paragraph" w:styleId="27">
    <w:name w:val="List Paragraph"/>
    <w:basedOn w:val="1"/>
    <w:uiPriority w:val="0"/>
    <w:pPr>
      <w:widowControl w:val="0"/>
      <w:ind w:left="720" w:firstLine="0"/>
      <w:contextualSpacing/>
    </w:pPr>
  </w:style>
  <w:style w:type="paragraph" w:customStyle="1" w:styleId="28">
    <w:name w:val="Footnote"/>
    <w:link w:val="29"/>
    <w:qFormat/>
    <w:uiPriority w:val="0"/>
    <w:pPr>
      <w:widowControl w:val="0"/>
      <w:spacing w:before="0" w:after="200" w:line="276" w:lineRule="auto"/>
      <w:ind w:left="0" w:right="0" w:firstLine="851"/>
      <w:jc w:val="both"/>
    </w:pPr>
    <w:rPr>
      <w:rFonts w:ascii="XO Thames" w:hAnsi="XO Thames"/>
      <w:color w:val="000000"/>
      <w:spacing w:val="0"/>
      <w:sz w:val="22"/>
    </w:rPr>
  </w:style>
  <w:style w:type="character" w:customStyle="1" w:styleId="29">
    <w:name w:val="Footnote1"/>
    <w:link w:val="28"/>
    <w:uiPriority w:val="0"/>
    <w:rPr>
      <w:rFonts w:ascii="XO Thames" w:hAnsi="XO Thames"/>
      <w:sz w:val="22"/>
    </w:rPr>
  </w:style>
  <w:style w:type="paragraph" w:customStyle="1" w:styleId="30">
    <w:name w:val="Header and Footer"/>
    <w:link w:val="31"/>
    <w:qFormat/>
    <w:uiPriority w:val="0"/>
    <w:pPr>
      <w:widowControl w:val="0"/>
      <w:spacing w:before="0" w:after="200" w:line="240" w:lineRule="auto"/>
      <w:ind w:left="0" w:right="0" w:firstLine="0"/>
      <w:jc w:val="both"/>
    </w:pPr>
    <w:rPr>
      <w:rFonts w:ascii="XO Thames" w:hAnsi="XO Thames"/>
      <w:color w:val="000000"/>
      <w:spacing w:val="0"/>
      <w:sz w:val="28"/>
    </w:rPr>
  </w:style>
  <w:style w:type="character" w:customStyle="1" w:styleId="31">
    <w:name w:val="Header and Footer1"/>
    <w:link w:val="30"/>
    <w:qFormat/>
    <w:uiPriority w:val="0"/>
    <w:rPr>
      <w:rFonts w:ascii="XO Thames" w:hAnsi="XO Thames"/>
      <w:sz w:val="28"/>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theme" Target="theme/theme1.xml"/><Relationship Id="rId6" Type="http://schemas.openxmlformats.org/officeDocument/2006/relationships/footer" Target="footer1.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majorFont>
      <a:minorFont>
        <a:latin typeface="Calibri"/>
        <a:ea typeface=""/>
        <a:cs typeface=""/>
      </a:minorFont>
    </a:fontScheme>
    <a:fmtScheme name="Стандартная">
      <a:fillStyleLst>
        <a:solidFill>
          <a:schemeClr val="phClr"/>
        </a:solidFill>
        <a:gradFill>
          <a:gsLst>
            <a:gs pos="0">
              <a:schemeClr val="phClr">
                <a:tint val="50000"/>
                <a:satMod val="300000"/>
              </a:schemeClr>
            </a:gs>
            <a:gs pos="35000">
              <a:schemeClr val="phClr">
                <a:tint val="37000"/>
                <a:satMod val="300000"/>
              </a:schemeClr>
            </a:gs>
            <a:gs pos="100000">
              <a:schemeClr val="phClr">
                <a:tint val="15000"/>
                <a:satMod val="350000"/>
              </a:schemeClr>
            </a:gs>
          </a:gsLst>
        </a:gradFill>
        <a:gradFill>
          <a:gsLst>
            <a:gs pos="0">
              <a:schemeClr val="phClr">
                <a:shade val="51000"/>
                <a:satMod val="130000"/>
              </a:schemeClr>
            </a:gs>
            <a:gs pos="80000">
              <a:schemeClr val="phClr">
                <a:shade val="93000"/>
                <a:satMod val="130000"/>
              </a:schemeClr>
            </a:gs>
            <a:gs pos="100000">
              <a:schemeClr val="phClr">
                <a:shade val="94000"/>
                <a:satMod val="135000"/>
              </a:schemeClr>
            </a:gs>
          </a:gsLst>
        </a:gradFill>
      </a:fillStyleLst>
      <a:lnStyleLst>
        <a:ln w="9525">
          <a:solidFill>
            <a:schemeClr val="phClr">
              <a:shade val="95000"/>
              <a:satMod val="105000"/>
            </a:schemeClr>
          </a:solidFill>
          <a:prstDash val="solid"/>
        </a:ln>
        <a:ln w="25400">
          <a:solidFill>
            <a:schemeClr val="phClr"/>
          </a:solidFill>
          <a:prstDash val="solid"/>
        </a:ln>
        <a:ln w="3810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gradFill>
          <a:gsLst>
            <a:gs pos="0">
              <a:schemeClr val="phClr">
                <a:tint val="40000"/>
                <a:satMod val="350000"/>
              </a:schemeClr>
            </a:gs>
            <a:gs pos="40000">
              <a:schemeClr val="phClr">
                <a:tint val="45000"/>
                <a:shade val="99000"/>
                <a:satMod val="350000"/>
              </a:schemeClr>
            </a:gs>
            <a:gs pos="100000">
              <a:schemeClr val="phClr">
                <a:shade val="20000"/>
                <a:satMod val="255000"/>
              </a:schemeClr>
            </a:gs>
          </a:gsLst>
        </a:gradFill>
        <a:gradFill>
          <a:gsLst>
            <a:gs pos="0">
              <a:schemeClr val="phClr">
                <a:tint val="80000"/>
                <a:satMod val="300000"/>
              </a:schemeClr>
            </a:gs>
            <a:gs pos="100000">
              <a:schemeClr val="phClr">
                <a:shade val="30000"/>
                <a:satMod val="200000"/>
              </a:schemeClr>
            </a:gs>
          </a:gsLst>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5</Pages>
  <Words>1666</Words>
  <Characters>12348</Characters>
  <TotalTime>10</TotalTime>
  <ScaleCrop>false</ScaleCrop>
  <LinksUpToDate>false</LinksUpToDate>
  <CharactersWithSpaces>14189</CharactersWithSpaces>
  <Application>WPS Office_12.1.0.26880_F1E327BC-269C-435d-A152-05C5408002CA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2026-06-24T12:03:00Z</dcterms:created>
  <dc:creator>Гуля</dc:creator>
  <cp:lastModifiedBy>Гуля</cp:lastModifiedBy>
  <dcterms:modified xsi:type="dcterms:W3CDTF">2026-07-17T05:49:18Z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eyJoZGlkIjoiNDZlZDQxMDQ4ZjdhNzBjZTNhMTAwMjc5MzEzYzkwNjEiLCJ1c2VySWQiOiI4NDIzMjg2ODk3NTAifQ==</vt:lpwstr>
  </property>
  <property fmtid="{D5CDD505-2E9C-101B-9397-08002B2CF9AE}" pid="3" name="KSOProductBuildVer">
    <vt:lpwstr>1049-12.1.0.26880</vt:lpwstr>
  </property>
  <property fmtid="{D5CDD505-2E9C-101B-9397-08002B2CF9AE}" pid="4" name="ICV">
    <vt:lpwstr>4382F5FE160648DDB8D7E4F08A0058D5_13</vt:lpwstr>
  </property>
</Properties>
</file>