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4.jpeg" ContentType="image/jpeg"/>
  <Override PartName="/word/media/image2.png" ContentType="image/png"/>
  <Override PartName="/word/media/image3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1"/>
        <w:ind w:right="-2" w:hanging="0"/>
        <w:jc w:val="left"/>
        <w:rPr>
          <w:rFonts w:ascii="PT Sans" w:hAnsi="PT Sans"/>
          <w:bCs/>
          <w:iCs/>
          <w:color w:val="0000FF"/>
          <w:sz w:val="16"/>
          <w:szCs w:val="16"/>
        </w:rPr>
      </w:pPr>
      <w:r>
        <mc:AlternateContent>
          <mc:Choice Requires="wps">
            <w:drawing>
              <wp:anchor behindDoc="0" distT="45720" distB="45720" distL="114300" distR="114300" simplePos="0" locked="0" layoutInCell="1" allowOverlap="1" relativeHeight="13">
                <wp:simplePos x="0" y="0"/>
                <wp:positionH relativeFrom="column">
                  <wp:posOffset>-167640</wp:posOffset>
                </wp:positionH>
                <wp:positionV relativeFrom="paragraph">
                  <wp:posOffset>35560</wp:posOffset>
                </wp:positionV>
                <wp:extent cx="6455410" cy="1016635"/>
                <wp:effectExtent l="0" t="0" r="0" b="0"/>
                <wp:wrapSquare wrapText="bothSides"/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800" cy="101592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spacing w:before="120" w:after="0"/>
                              <w:rPr>
                                <w:rFonts w:ascii="PT Sans" w:hAnsi="PT Sans" w:eastAsia="Calibri" w:cs="Franklin Gothic Book" w:eastAsiaTheme="minorHAnsi"/>
                                <w:color w:val="2E74B5" w:themeColor="accent1" w:themeShade="bf"/>
                                <w:sz w:val="16"/>
                                <w:szCs w:val="16"/>
                                <w:lang w:val="ru" w:eastAsia="en-US"/>
                              </w:rPr>
                            </w:pPr>
                            <w:r>
                              <w:rPr/>
                              <w:drawing>
                                <wp:inline distT="0" distB="0" distL="0" distR="5715">
                                  <wp:extent cx="6261735" cy="462280"/>
                                  <wp:effectExtent l="0" t="0" r="0" b="0"/>
                                  <wp:docPr id="3" name="Рисунок 3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Рисунок 3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61735" cy="462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Style21"/>
                              <w:ind w:right="-1049" w:hanging="0"/>
                              <w:rPr>
                                <w:rFonts w:ascii="PT Sans" w:hAnsi="PT Sans" w:eastAsia="Calibri" w:cs="Franklin Gothic Book" w:eastAsiaTheme="minorHAnsi"/>
                                <w:color w:val="2E74B5" w:themeColor="accent1" w:themeShade="bf"/>
                                <w:sz w:val="16"/>
                                <w:szCs w:val="16"/>
                                <w:lang w:val="ru" w:eastAsia="en-US"/>
                              </w:rPr>
                            </w:pPr>
                            <w:r>
                              <w:rPr>
                                <w:rFonts w:eastAsia="Calibri" w:cs="Franklin Gothic Book" w:ascii="PT Sans" w:hAnsi="PT Sans" w:eastAsiaTheme="minorHAnsi"/>
                                <w:color w:val="2E74B5" w:themeColor="accent1" w:themeShade="bf"/>
                                <w:sz w:val="16"/>
                                <w:szCs w:val="16"/>
                                <w:lang w:val="ru" w:eastAsia="en-US"/>
                              </w:rPr>
                              <w:t>АКЦИОНЕРНОЕ ОБЩЕСТВО «ТРАНСНЕФТЬ-ПРИВОЛГА», Ленинская ул., д. 100, Самара, Россия, 443020;</w:t>
                            </w:r>
                          </w:p>
                          <w:p>
                            <w:pPr>
                              <w:pStyle w:val="Style21"/>
                              <w:ind w:right="-1049" w:hanging="0"/>
                              <w:rPr>
                                <w:rFonts w:ascii="PT Sans" w:hAnsi="PT Sans" w:eastAsia="Calibri" w:cs="Franklin Gothic Book" w:eastAsiaTheme="minorHAnsi"/>
                                <w:color w:val="2E74B5" w:themeColor="accent1" w:themeShade="bf"/>
                                <w:sz w:val="16"/>
                                <w:szCs w:val="16"/>
                                <w:lang w:val="ru" w:eastAsia="en-US"/>
                              </w:rPr>
                            </w:pPr>
                            <w:r>
                              <w:rPr>
                                <w:rFonts w:eastAsia="Calibri" w:cs="Franklin Gothic Book" w:ascii="PT Sans" w:hAnsi="PT Sans" w:eastAsiaTheme="minorHAnsi"/>
                                <w:color w:val="2E74B5" w:themeColor="accent1" w:themeShade="bf"/>
                                <w:sz w:val="16"/>
                                <w:szCs w:val="16"/>
                                <w:lang w:val="ru" w:eastAsia="en-US"/>
                              </w:rPr>
                              <w:t xml:space="preserve">Тел. (846) 250-02-41, 250-02-39 (Отдел делопроизводства и контроля); (846) 310-83-11 (приемная); </w:t>
                            </w:r>
                          </w:p>
                          <w:p>
                            <w:pPr>
                              <w:pStyle w:val="Style21"/>
                              <w:ind w:right="-1049" w:hanging="0"/>
                              <w:rPr/>
                            </w:pPr>
                            <w:r>
                              <w:rPr>
                                <w:rFonts w:eastAsia="Calibri" w:cs="Franklin Gothic Book" w:ascii="PT Sans" w:hAnsi="PT Sans" w:eastAsiaTheme="minorHAnsi"/>
                                <w:color w:val="2E74B5" w:themeColor="accent1" w:themeShade="bf"/>
                                <w:sz w:val="16"/>
                                <w:szCs w:val="16"/>
                                <w:lang w:val="ru" w:eastAsia="en-US"/>
                              </w:rPr>
                              <w:t>Телетайп: 214318</w:t>
                            </w:r>
                            <w:r>
                              <w:rPr>
                                <w:rFonts w:eastAsia="Calibri" w:cs="Franklin Gothic Book" w:ascii="PT Sans" w:hAnsi="PT Sans" w:eastAsiaTheme="minorHAnsi"/>
                                <w:color w:val="2E74B5" w:themeColor="accent1" w:themeShade="bf"/>
                                <w:sz w:val="16"/>
                                <w:szCs w:val="16"/>
                                <w:lang w:eastAsia="en-US"/>
                              </w:rPr>
                              <w:t>;</w:t>
                            </w:r>
                            <w:r>
                              <w:rPr>
                                <w:rFonts w:eastAsia="Calibri" w:cs="Franklin Gothic Book" w:ascii="PT Sans" w:hAnsi="PT Sans" w:eastAsiaTheme="minorHAnsi"/>
                                <w:color w:val="2E74B5" w:themeColor="accent1" w:themeShade="bf"/>
                                <w:sz w:val="16"/>
                                <w:szCs w:val="16"/>
                                <w:lang w:val="ru" w:eastAsia="en-US"/>
                              </w:rPr>
                              <w:t xml:space="preserve"> ТРАСС, </w:t>
                            </w:r>
                            <w:r>
                              <w:rPr>
                                <w:rFonts w:eastAsia="Calibri" w:cs="Franklin Gothic Book" w:ascii="PT Sans" w:hAnsi="PT Sans" w:eastAsiaTheme="minorHAnsi"/>
                                <w:color w:val="2E74B5" w:themeColor="accent1" w:themeShade="bf"/>
                                <w:sz w:val="16"/>
                                <w:szCs w:val="16"/>
                                <w:lang w:val="en-US" w:eastAsia="en-US"/>
                              </w:rPr>
                              <w:t>e</w:t>
                            </w:r>
                            <w:r>
                              <w:rPr>
                                <w:rFonts w:eastAsia="Calibri" w:cs="Franklin Gothic Book" w:ascii="PT Sans" w:hAnsi="PT Sans" w:eastAsiaTheme="minorHAnsi"/>
                                <w:color w:val="2E74B5" w:themeColor="accent1" w:themeShade="bf"/>
                                <w:sz w:val="16"/>
                                <w:szCs w:val="16"/>
                                <w:lang w:eastAsia="en-US"/>
                              </w:rPr>
                              <w:t>-</w:t>
                            </w:r>
                            <w:r>
                              <w:rPr>
                                <w:rFonts w:eastAsia="Calibri" w:cs="Franklin Gothic Book" w:ascii="PT Sans" w:hAnsi="PT Sans" w:eastAsiaTheme="minorHAnsi"/>
                                <w:color w:val="2E74B5" w:themeColor="accent1" w:themeShade="bf"/>
                                <w:sz w:val="16"/>
                                <w:szCs w:val="16"/>
                                <w:lang w:val="en-US" w:eastAsia="en-US"/>
                              </w:rPr>
                              <w:t>mail</w:t>
                            </w:r>
                            <w:r>
                              <w:rPr>
                                <w:rFonts w:eastAsia="Calibri" w:cs="Franklin Gothic Book" w:ascii="PT Sans" w:hAnsi="PT Sans" w:eastAsiaTheme="minorHAnsi"/>
                                <w:color w:val="2E74B5" w:themeColor="accent1" w:themeShade="bf"/>
                                <w:sz w:val="16"/>
                                <w:szCs w:val="16"/>
                                <w:lang w:eastAsia="en-US"/>
                              </w:rPr>
                              <w:t xml:space="preserve">: </w:t>
                            </w:r>
                            <w:hyperlink r:id="rId3">
                              <w:r>
                                <w:rPr>
                                  <w:rStyle w:val="Style19"/>
                                  <w:rFonts w:eastAsia="Calibri" w:cs="Franklin Gothic Book" w:ascii="PT Sans" w:hAnsi="PT Sans" w:eastAsiaTheme="minorHAnsi"/>
                                  <w:color w:val="2E74B5" w:themeColor="accent1" w:themeShade="bf"/>
                                  <w:sz w:val="16"/>
                                  <w:szCs w:val="16"/>
                                  <w:lang w:eastAsia="en-US"/>
                                </w:rPr>
                                <w:t>PRIVOLGA@sam.transneft.ru</w:t>
                              </w:r>
                            </w:hyperlink>
                            <w:r>
                              <w:rPr>
                                <w:rFonts w:eastAsia="Calibri" w:cs="Franklin Gothic Book" w:ascii="PT Sans" w:hAnsi="PT Sans" w:eastAsiaTheme="minorHAnsi"/>
                                <w:color w:val="2E74B5" w:themeColor="accent1" w:themeShade="bf"/>
                                <w:sz w:val="16"/>
                                <w:szCs w:val="16"/>
                                <w:lang w:eastAsia="en-US"/>
                              </w:rPr>
                              <w:t xml:space="preserve">; ОКПО 00139117; ОГРН 1026301416371; ИНН/КПП 6317024749/997250001 </w:t>
                            </w:r>
                          </w:p>
                          <w:p>
                            <w:pPr>
                              <w:pStyle w:val="Style28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90000" rIns="90000" tIns="45000" bIns="45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stroked="f" style="position:absolute;margin-left:-13.2pt;margin-top:2.8pt;width:508.2pt;height:79.95pt">
                <w10:wrap type="square"/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Style21"/>
                        <w:spacing w:before="120" w:after="0"/>
                        <w:rPr>
                          <w:rFonts w:ascii="PT Sans" w:hAnsi="PT Sans" w:eastAsia="Calibri" w:cs="Franklin Gothic Book" w:eastAsiaTheme="minorHAnsi"/>
                          <w:color w:val="2E74B5" w:themeColor="accent1" w:themeShade="bf"/>
                          <w:sz w:val="16"/>
                          <w:szCs w:val="16"/>
                          <w:lang w:val="ru" w:eastAsia="en-US"/>
                        </w:rPr>
                      </w:pPr>
                      <w:r>
                        <w:rPr/>
                        <w:drawing>
                          <wp:inline distT="0" distB="0" distL="0" distR="5715">
                            <wp:extent cx="6261735" cy="462280"/>
                            <wp:effectExtent l="0" t="0" r="0" b="0"/>
                            <wp:docPr id="4" name="Рисунок 3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Рисунок 3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61735" cy="462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Style21"/>
                        <w:ind w:right="-1049" w:hanging="0"/>
                        <w:rPr>
                          <w:rFonts w:ascii="PT Sans" w:hAnsi="PT Sans" w:eastAsia="Calibri" w:cs="Franklin Gothic Book" w:eastAsiaTheme="minorHAnsi"/>
                          <w:color w:val="2E74B5" w:themeColor="accent1" w:themeShade="bf"/>
                          <w:sz w:val="16"/>
                          <w:szCs w:val="16"/>
                          <w:lang w:val="ru" w:eastAsia="en-US"/>
                        </w:rPr>
                      </w:pPr>
                      <w:r>
                        <w:rPr>
                          <w:rFonts w:eastAsia="Calibri" w:cs="Franklin Gothic Book" w:ascii="PT Sans" w:hAnsi="PT Sans" w:eastAsiaTheme="minorHAnsi"/>
                          <w:color w:val="2E74B5" w:themeColor="accent1" w:themeShade="bf"/>
                          <w:sz w:val="16"/>
                          <w:szCs w:val="16"/>
                          <w:lang w:val="ru" w:eastAsia="en-US"/>
                        </w:rPr>
                        <w:t>АКЦИОНЕРНОЕ ОБЩЕСТВО «ТРАНСНЕФТЬ-ПРИВОЛГА», Ленинская ул., д. 100, Самара, Россия, 443020;</w:t>
                      </w:r>
                    </w:p>
                    <w:p>
                      <w:pPr>
                        <w:pStyle w:val="Style21"/>
                        <w:ind w:right="-1049" w:hanging="0"/>
                        <w:rPr>
                          <w:rFonts w:ascii="PT Sans" w:hAnsi="PT Sans" w:eastAsia="Calibri" w:cs="Franklin Gothic Book" w:eastAsiaTheme="minorHAnsi"/>
                          <w:color w:val="2E74B5" w:themeColor="accent1" w:themeShade="bf"/>
                          <w:sz w:val="16"/>
                          <w:szCs w:val="16"/>
                          <w:lang w:val="ru" w:eastAsia="en-US"/>
                        </w:rPr>
                      </w:pPr>
                      <w:r>
                        <w:rPr>
                          <w:rFonts w:eastAsia="Calibri" w:cs="Franklin Gothic Book" w:ascii="PT Sans" w:hAnsi="PT Sans" w:eastAsiaTheme="minorHAnsi"/>
                          <w:color w:val="2E74B5" w:themeColor="accent1" w:themeShade="bf"/>
                          <w:sz w:val="16"/>
                          <w:szCs w:val="16"/>
                          <w:lang w:val="ru" w:eastAsia="en-US"/>
                        </w:rPr>
                        <w:t xml:space="preserve">Тел. (846) 250-02-41, 250-02-39 (Отдел делопроизводства и контроля); (846) 310-83-11 (приемная); </w:t>
                      </w:r>
                    </w:p>
                    <w:p>
                      <w:pPr>
                        <w:pStyle w:val="Style21"/>
                        <w:ind w:right="-1049" w:hanging="0"/>
                        <w:rPr/>
                      </w:pPr>
                      <w:r>
                        <w:rPr>
                          <w:rFonts w:eastAsia="Calibri" w:cs="Franklin Gothic Book" w:ascii="PT Sans" w:hAnsi="PT Sans" w:eastAsiaTheme="minorHAnsi"/>
                          <w:color w:val="2E74B5" w:themeColor="accent1" w:themeShade="bf"/>
                          <w:sz w:val="16"/>
                          <w:szCs w:val="16"/>
                          <w:lang w:val="ru" w:eastAsia="en-US"/>
                        </w:rPr>
                        <w:t>Телетайп: 214318</w:t>
                      </w:r>
                      <w:r>
                        <w:rPr>
                          <w:rFonts w:eastAsia="Calibri" w:cs="Franklin Gothic Book" w:ascii="PT Sans" w:hAnsi="PT Sans" w:eastAsiaTheme="minorHAnsi"/>
                          <w:color w:val="2E74B5" w:themeColor="accent1" w:themeShade="bf"/>
                          <w:sz w:val="16"/>
                          <w:szCs w:val="16"/>
                          <w:lang w:eastAsia="en-US"/>
                        </w:rPr>
                        <w:t>;</w:t>
                      </w:r>
                      <w:r>
                        <w:rPr>
                          <w:rFonts w:eastAsia="Calibri" w:cs="Franklin Gothic Book" w:ascii="PT Sans" w:hAnsi="PT Sans" w:eastAsiaTheme="minorHAnsi"/>
                          <w:color w:val="2E74B5" w:themeColor="accent1" w:themeShade="bf"/>
                          <w:sz w:val="16"/>
                          <w:szCs w:val="16"/>
                          <w:lang w:val="ru" w:eastAsia="en-US"/>
                        </w:rPr>
                        <w:t xml:space="preserve"> ТРАСС, </w:t>
                      </w:r>
                      <w:r>
                        <w:rPr>
                          <w:rFonts w:eastAsia="Calibri" w:cs="Franklin Gothic Book" w:ascii="PT Sans" w:hAnsi="PT Sans" w:eastAsiaTheme="minorHAnsi"/>
                          <w:color w:val="2E74B5" w:themeColor="accent1" w:themeShade="bf"/>
                          <w:sz w:val="16"/>
                          <w:szCs w:val="16"/>
                          <w:lang w:val="en-US" w:eastAsia="en-US"/>
                        </w:rPr>
                        <w:t>e</w:t>
                      </w:r>
                      <w:r>
                        <w:rPr>
                          <w:rFonts w:eastAsia="Calibri" w:cs="Franklin Gothic Book" w:ascii="PT Sans" w:hAnsi="PT Sans" w:eastAsiaTheme="minorHAnsi"/>
                          <w:color w:val="2E74B5" w:themeColor="accent1" w:themeShade="bf"/>
                          <w:sz w:val="16"/>
                          <w:szCs w:val="16"/>
                          <w:lang w:eastAsia="en-US"/>
                        </w:rPr>
                        <w:t>-</w:t>
                      </w:r>
                      <w:r>
                        <w:rPr>
                          <w:rFonts w:eastAsia="Calibri" w:cs="Franklin Gothic Book" w:ascii="PT Sans" w:hAnsi="PT Sans" w:eastAsiaTheme="minorHAnsi"/>
                          <w:color w:val="2E74B5" w:themeColor="accent1" w:themeShade="bf"/>
                          <w:sz w:val="16"/>
                          <w:szCs w:val="16"/>
                          <w:lang w:val="en-US" w:eastAsia="en-US"/>
                        </w:rPr>
                        <w:t>mail</w:t>
                      </w:r>
                      <w:r>
                        <w:rPr>
                          <w:rFonts w:eastAsia="Calibri" w:cs="Franklin Gothic Book" w:ascii="PT Sans" w:hAnsi="PT Sans" w:eastAsiaTheme="minorHAnsi"/>
                          <w:color w:val="2E74B5" w:themeColor="accent1" w:themeShade="bf"/>
                          <w:sz w:val="16"/>
                          <w:szCs w:val="16"/>
                          <w:lang w:eastAsia="en-US"/>
                        </w:rPr>
                        <w:t xml:space="preserve">: </w:t>
                      </w:r>
                      <w:hyperlink r:id="rId4">
                        <w:r>
                          <w:rPr>
                            <w:rStyle w:val="Style19"/>
                            <w:rFonts w:eastAsia="Calibri" w:cs="Franklin Gothic Book" w:ascii="PT Sans" w:hAnsi="PT Sans" w:eastAsiaTheme="minorHAnsi"/>
                            <w:color w:val="2E74B5" w:themeColor="accent1" w:themeShade="bf"/>
                            <w:sz w:val="16"/>
                            <w:szCs w:val="16"/>
                            <w:lang w:eastAsia="en-US"/>
                          </w:rPr>
                          <w:t>PRIVOLGA@sam.transneft.ru</w:t>
                        </w:r>
                      </w:hyperlink>
                      <w:r>
                        <w:rPr>
                          <w:rFonts w:eastAsia="Calibri" w:cs="Franklin Gothic Book" w:ascii="PT Sans" w:hAnsi="PT Sans" w:eastAsiaTheme="minorHAnsi"/>
                          <w:color w:val="2E74B5" w:themeColor="accent1" w:themeShade="bf"/>
                          <w:sz w:val="16"/>
                          <w:szCs w:val="16"/>
                          <w:lang w:eastAsia="en-US"/>
                        </w:rPr>
                        <w:t xml:space="preserve">; ОКПО 00139117; ОГРН 1026301416371; ИНН/КПП 6317024749/997250001 </w:t>
                      </w:r>
                    </w:p>
                    <w:p>
                      <w:pPr>
                        <w:pStyle w:val="Style28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w:drawing>
          <wp:anchor behindDoc="0" distT="0" distB="0" distL="114300" distR="114300" simplePos="0" locked="0" layoutInCell="1" allowOverlap="1" relativeHeight="3">
            <wp:simplePos x="0" y="0"/>
            <wp:positionH relativeFrom="page">
              <wp:posOffset>5083810</wp:posOffset>
            </wp:positionH>
            <wp:positionV relativeFrom="page">
              <wp:posOffset>9925685</wp:posOffset>
            </wp:positionV>
            <wp:extent cx="2260600" cy="550545"/>
            <wp:effectExtent l="0" t="0" r="0" b="0"/>
            <wp:wrapNone/>
            <wp:docPr id="5" name="barcodeDocument" descr="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arcodeDocument" descr="Blan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T Sans" w:hAnsi="PT Sans"/>
          <w:bCs/>
          <w:iCs/>
          <w:color w:val="0000FF"/>
          <w:sz w:val="16"/>
          <w:szCs w:val="16"/>
        </w:rPr>
        <w:t xml:space="preserve">            </w:t>
      </w:r>
    </w:p>
    <w:tbl>
      <w:tblPr>
        <w:tblStyle w:val="TableGrid"/>
        <w:tblW w:w="1017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203"/>
        <w:gridCol w:w="3969"/>
      </w:tblGrid>
      <w:tr>
        <w:trPr/>
        <w:tc>
          <w:tcPr>
            <w:tcW w:w="6203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Style21"/>
              <w:spacing w:lineRule="auto" w:line="360" w:before="0" w:after="0"/>
              <w:ind w:right="-1" w:hanging="0"/>
              <w:jc w:val="left"/>
              <w:rPr>
                <w:rFonts w:ascii="PT Sans" w:hAnsi="PT Sans"/>
                <w:bCs/>
                <w:iCs/>
                <w:color w:val="1F4E79" w:themeColor="accent1" w:themeShade="80"/>
                <w:sz w:val="22"/>
                <w:szCs w:val="22"/>
                <w:u w:val="single"/>
              </w:rPr>
            </w:pPr>
            <w:r>
              <w:rPr/>
            </w:r>
            <w:r>
              <w:rPr>
                <w:rFonts w:ascii="PT Sans" w:hAnsi="PT Sans"/>
                <w:bCs/>
                <w:iCs/>
                <w:color w:val="1F4E79" w:themeColor="accent1" w:themeShade="80"/>
                <w:sz w:val="22"/>
                <w:szCs w:val="22"/>
              </w:rPr>
              <w:t xml:space="preserve">  </w:t>
            </w:r>
            <w:r>
              <w:rPr>
                <w:rFonts w:ascii="PT Sans" w:hAnsi="PT Sans"/>
                <w:bCs/>
                <w:iCs/>
                <w:color w:val="1F4E79" w:themeColor="accent1" w:themeShade="80"/>
                <w:sz w:val="23"/>
                <w:szCs w:val="23"/>
                <w:vertAlign w:val="superscript"/>
              </w:rPr>
              <w:t>№</w:t>
            </w:r>
            <w:r>
              <w:rPr>
                <w:rFonts w:ascii="PT Sans" w:hAnsi="PT Sans"/>
                <w:bCs/>
                <w:iCs/>
                <w:color w:val="1F4E79" w:themeColor="accent1" w:themeShade="80"/>
                <w:sz w:val="22"/>
                <w:szCs w:val="22"/>
              </w:rPr>
              <w:t xml:space="preserve"> </w:t>
            </w:r>
            <w:r>
              <w:rPr>
                <w:rFonts w:ascii="PT Sans" w:hAnsi="PT Sans"/>
                <w:bCs/>
                <w:iCs/>
                <w:color w:val="1F4E79" w:themeColor="accent1" w:themeShade="80"/>
                <w:sz w:val="22"/>
                <w:szCs w:val="22"/>
              </w:rPr>
            </w:r>
            <w:r>
              <w:rPr>
                <w:rFonts w:ascii="PT Sans" w:hAnsi="PT Sans"/>
                <w:bCs/>
                <w:iCs/>
                <w:color w:val="1F4E79" w:themeColor="accent1" w:themeShade="80"/>
                <w:sz w:val="22"/>
                <w:szCs w:val="22"/>
                <w:u w:val="single"/>
              </w:rPr>
              <w:t xml:space="preserve">  </w:t>
            </w:r>
            <w:r>
              <mc:AlternateContent>
                <mc:Choice Requires="wps">
                  <w:drawing>
                    <wp:inline distT="45720" distB="45720" distL="114300" distR="114300">
                      <wp:extent cx="1022985" cy="274955"/>
                      <wp:effectExtent l="0" t="0" r="0" b="0"/>
                      <wp:docPr id="6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985" cy="274955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635">
                                <a:solidFill>
                                  <a:srgbClr val="FFFFFF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Style28"/>
                                    <w:rPr/>
                                  </w:pPr>
                                  <w:r>
                                    <w:rPr>
                                      <w:rFonts w:ascii="PT Sans" w:hAnsi="PT Sans"/>
                                      <w:color w:val="2E74B5" w:themeColor="accent1" w:themeShade="bf"/>
                                    </w:rPr>
                                    <w:fldChar w:fldCharType="begin" w:fldLock="true"/>
                                  </w:r>
                                  <w:r>
                                    <w:instrText> DOCPROPERTY "RegisterDate"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t>02.09.2026</w: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anchor="t" lIns="0" tIns="46990" rIns="0" bIns="1778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fillcolor="#FFFFFF" strokecolor="#FFFFFF" strokeweight="0pt" style="position:absolute;rotation:0;width:80.55pt;height:21.65pt;mso-wrap-distance-left:9pt;mso-wrap-distance-right:9pt;mso-wrap-distance-top:3.6pt;mso-wrap-distance-bottom:3.6pt;margin-top:0pt;mso-position-vertical-relative:text;margin-left:0pt;mso-position-horizontal-relative:text">
                      <v:fill opacity="0f"/>
                      <v:textbox inset="0in,0.0513888888888889in,0in,0.0194444444444444in">
                        <w:txbxContent>
                          <w:p>
                            <w:pPr>
                              <w:pStyle w:val="Style28"/>
                              <w:rPr/>
                            </w:pPr>
                            <w:r>
                              <w:rPr>
                                <w:rFonts w:ascii="PT Sans" w:hAnsi="PT Sans"/>
                                <w:color w:val="2E74B5" w:themeColor="accent1" w:themeShade="bf"/>
                              </w:rPr>
                              <w:fldChar w:fldCharType="begin" w:fldLock="true"/>
                            </w:r>
                            <w:r>
                              <w:instrText> DOCPROPERTY "RegisterDate"</w:instrText>
                            </w:r>
                            <w:r>
                              <w:fldChar w:fldCharType="separate"/>
                            </w:r>
                            <w:r>
                              <w:t>02.09.2026</w: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inline distT="45720" distB="45720" distL="114300" distR="114300">
                      <wp:extent cx="1932940" cy="330200"/>
                      <wp:effectExtent l="0" t="0" r="0" b="0"/>
                      <wp:docPr id="7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2940" cy="330200"/>
                              </a:xfrm>
                              <a:prstGeom prst="rect"/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635">
                                <a:solidFill>
                                  <a:srgbClr val="FFFFFF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Style28"/>
                                    <w:rPr/>
                                  </w:pPr>
                                  <w:r>
                                    <w:rPr>
                                      <w:rFonts w:ascii="PT Sans" w:hAnsi="PT Sans"/>
                                      <w:color w:val="2E74B5" w:themeColor="accent1" w:themeShade="bf"/>
                                    </w:rPr>
                                    <w:fldChar w:fldCharType="begin" w:fldLock="true"/>
                                  </w:r>
                                  <w:r>
                                    <w:instrText> DOCPROPERTY "RegNum"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t>ТПВ-01-43-14/26796</w: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anchor="t" lIns="0" tIns="46990" rIns="0" bIns="1778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fillcolor="#FFFFFF" strokecolor="#FFFFFF" strokeweight="0pt" style="position:absolute;rotation:0;width:152.2pt;height:26pt;mso-wrap-distance-left:9pt;mso-wrap-distance-right:9pt;mso-wrap-distance-top:3.6pt;mso-wrap-distance-bottom:3.6pt;margin-top:0pt;mso-position-vertical-relative:text;margin-left:0pt;mso-position-horizontal-relative:text">
                      <v:fill opacity="0f"/>
                      <v:textbox inset="0in,0.0513888888888889in,0in,0.0194444444444444in">
                        <w:txbxContent>
                          <w:p>
                            <w:pPr>
                              <w:pStyle w:val="Style28"/>
                              <w:rPr/>
                            </w:pPr>
                            <w:r>
                              <w:rPr>
                                <w:rFonts w:ascii="PT Sans" w:hAnsi="PT Sans"/>
                                <w:color w:val="2E74B5" w:themeColor="accent1" w:themeShade="bf"/>
                              </w:rPr>
                              <w:fldChar w:fldCharType="begin" w:fldLock="true"/>
                            </w:r>
                            <w:r>
                              <w:instrText> DOCPROPERTY "RegNum"</w:instrText>
                            </w:r>
                            <w:r>
                              <w:fldChar w:fldCharType="separate"/>
                            </w:r>
                            <w:r>
                              <w:t>ТПВ-01-43-14/26796</w: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pStyle w:val="Style21"/>
              <w:spacing w:lineRule="auto" w:line="360" w:before="0" w:after="0"/>
              <w:ind w:right="-1" w:hanging="0"/>
              <w:jc w:val="left"/>
              <w:rPr>
                <w:rFonts w:ascii="PT Sans" w:hAnsi="PT Sans"/>
                <w:bCs/>
                <w:iCs/>
                <w:color w:val="1F4E79" w:themeColor="accent1" w:themeShade="80"/>
                <w:sz w:val="22"/>
                <w:szCs w:val="22"/>
                <w:u w:val="single"/>
              </w:rPr>
            </w:pPr>
            <w:r>
              <w:rPr>
                <w:rFonts w:ascii="PT Sans" w:hAnsi="PT Sans"/>
                <w:bCs/>
                <w:iCs/>
                <w:color w:val="1F4E79" w:themeColor="accent1" w:themeShade="80"/>
                <w:sz w:val="24"/>
                <w:szCs w:val="22"/>
                <w:vertAlign w:val="superscript"/>
              </w:rPr>
              <w:t xml:space="preserve">На </w:t>
            </w:r>
            <w:r>
              <w:rPr>
                <w:rFonts w:ascii="PT Sans" w:hAnsi="PT Sans"/>
                <w:bCs/>
                <w:iCs/>
                <w:color w:val="1F4E79" w:themeColor="accent1" w:themeShade="80"/>
                <w:sz w:val="23"/>
                <w:szCs w:val="23"/>
                <w:vertAlign w:val="superscript"/>
              </w:rPr>
              <w:t>№</w:t>
            </w:r>
            <w:r>
              <w:rPr>
                <w:rFonts w:ascii="PT Sans" w:hAnsi="PT Sans"/>
                <w:bCs/>
                <w:iCs/>
                <w:color w:val="1F4E79" w:themeColor="accent1" w:themeShade="80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PT Sans" w:hAnsi="PT Sans"/>
                <w:bCs/>
                <w:iCs/>
                <w:color w:val="1F4E79" w:themeColor="accent1" w:themeShade="80"/>
                <w:sz w:val="22"/>
                <w:szCs w:val="22"/>
              </w:rPr>
              <w:t xml:space="preserve"> </w:t>
            </w:r>
            <w:r>
              <w:rPr>
                <w:rFonts w:ascii="PT Sans" w:hAnsi="PT Sans"/>
                <w:bCs/>
                <w:iCs/>
                <w:color w:val="1F4E79" w:themeColor="accent1" w:themeShade="80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PT Sans" w:hAnsi="PT Sans"/>
                <w:bCs/>
                <w:iCs/>
                <w:color w:val="1F4E79" w:themeColor="accent1" w:themeShade="80"/>
                <w:sz w:val="22"/>
                <w:szCs w:val="22"/>
                <w:vertAlign w:val="superscript"/>
              </w:rPr>
            </w:r>
            <w:r>
              <w:rPr>
                <w:rFonts w:ascii="PT Sans" w:hAnsi="PT Sans"/>
                <w:bCs/>
                <w:iCs/>
                <w:color w:val="1F4E79" w:themeColor="accent1" w:themeShade="80"/>
                <w:sz w:val="22"/>
                <w:szCs w:val="22"/>
              </w:rPr>
              <w:t xml:space="preserve"> </w:t>
            </w:r>
            <w:r>
              <w:rPr>
                <w:rFonts w:ascii="PT Sans" w:hAnsi="PT Sans"/>
                <w:bCs/>
                <w:iCs/>
                <w:color w:val="1F4E79" w:themeColor="accent1" w:themeShade="80"/>
                <w:sz w:val="23"/>
                <w:szCs w:val="23"/>
                <w:vertAlign w:val="superscript"/>
              </w:rPr>
              <w:t>от</w:t>
            </w:r>
            <w:r>
              <w:rPr>
                <w:rFonts w:ascii="PT Sans" w:hAnsi="PT Sans"/>
                <w:bCs/>
                <w:iCs/>
                <w:color w:val="1F4E79" w:themeColor="accent1" w:themeShade="80"/>
                <w:sz w:val="22"/>
                <w:szCs w:val="22"/>
                <w:u w:val="single"/>
              </w:rPr>
              <w:t xml:space="preserve"> </w:t>
            </w:r>
            <w:r>
              <w:rPr>
                <w:rFonts w:ascii="PT Sans" w:hAnsi="PT Sans"/>
                <w:bCs/>
                <w:iCs/>
                <w:color w:val="1F4E79" w:themeColor="accent1" w:themeShade="80"/>
                <w:sz w:val="22"/>
                <w:szCs w:val="22"/>
                <w:u w:val="single"/>
              </w:rPr>
            </w:r>
            <w:r>
              <mc:AlternateContent>
                <mc:Choice Requires="wps">
                  <w:drawing>
                    <wp:inline distT="45720" distB="45720" distL="114300" distR="114300">
                      <wp:extent cx="1770380" cy="273050"/>
                      <wp:effectExtent l="0" t="0" r="0" b="0"/>
                      <wp:docPr id="8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0380" cy="27305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635">
                                <a:solidFill>
                                  <a:srgbClr val="FFFFFF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Style28"/>
                                    <w:rPr/>
                                  </w:pPr>
                                  <w:r>
                                    <w:rPr>
                                      <w:rFonts w:ascii="PT Sans" w:hAnsi="PT Sans"/>
                                      <w:color w:val="2E74B5" w:themeColor="accent1" w:themeShade="bf"/>
                                      <w:u w:val="single" w:color="FFFFFF"/>
                                    </w:rPr>
                                    <w:fldChar w:fldCharType="begin" w:fldLock="true"/>
                                  </w:r>
                                  <w:r>
                                    <w:instrText> DOCPROPERTY "ForInNum"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t xml:space="preserve">                  </w: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anchor="t" lIns="0" tIns="45720" rIns="0" bIns="1778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fillcolor="#FFFFFF" strokecolor="#FFFFFF" strokeweight="0pt" style="position:absolute;rotation:0;width:139.4pt;height:21.5pt;mso-wrap-distance-left:9pt;mso-wrap-distance-right:9pt;mso-wrap-distance-top:3.6pt;mso-wrap-distance-bottom:3.6pt;margin-top:0pt;mso-position-vertical-relative:text;margin-left:0pt;mso-position-horizontal-relative:text">
                      <v:textbox inset="0in,0.05in,0in,0.0194444444444444in">
                        <w:txbxContent>
                          <w:p>
                            <w:pPr>
                              <w:pStyle w:val="Style28"/>
                              <w:rPr/>
                            </w:pPr>
                            <w:r>
                              <w:rPr>
                                <w:rFonts w:ascii="PT Sans" w:hAnsi="PT Sans"/>
                                <w:color w:val="2E74B5" w:themeColor="accent1" w:themeShade="bf"/>
                                <w:u w:val="single" w:color="FFFFFF"/>
                              </w:rPr>
                              <w:fldChar w:fldCharType="begin" w:fldLock="true"/>
                            </w:r>
                            <w:r>
                              <w:instrText> DOCPROPERTY "ForInNum"</w:instrText>
                            </w:r>
                            <w:r>
                              <w:fldChar w:fldCharType="separate"/>
                            </w:r>
                            <w:r>
                              <w:t xml:space="preserve">                  </w: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inline distT="45720" distB="45720" distL="114300" distR="114300">
                      <wp:extent cx="909320" cy="273050"/>
                      <wp:effectExtent l="0" t="0" r="0" b="0"/>
                      <wp:docPr id="9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9320" cy="27305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635">
                                <a:solidFill>
                                  <a:srgbClr val="FFFFFF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Style28"/>
                                    <w:rPr/>
                                  </w:pPr>
                                  <w:r>
                                    <w:rPr>
                                      <w:rFonts w:ascii="PT Sans" w:hAnsi="PT Sans"/>
                                      <w:color w:val="2E74B5" w:themeColor="accent1" w:themeShade="bf"/>
                                      <w:u w:val="single" w:color="FFFFFF"/>
                                    </w:rPr>
                                    <w:fldChar w:fldCharType="begin" w:fldLock="true"/>
                                  </w:r>
                                  <w:r>
                                    <w:instrText> DOCPROPERTY "ForInDate"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t xml:space="preserve">                  </w: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anchor="t" lIns="0" tIns="45720" rIns="0" bIns="1778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fillcolor="#FFFFFF" strokecolor="#FFFFFF" strokeweight="0pt" style="position:absolute;rotation:0;width:71.6pt;height:21.5pt;mso-wrap-distance-left:9pt;mso-wrap-distance-right:9pt;mso-wrap-distance-top:3.6pt;mso-wrap-distance-bottom:3.6pt;margin-top:0pt;mso-position-vertical-relative:text;margin-left:0pt;mso-position-horizontal-relative:text">
                      <v:textbox inset="0in,0.05in,0in,0.0194444444444444in">
                        <w:txbxContent>
                          <w:p>
                            <w:pPr>
                              <w:pStyle w:val="Style28"/>
                              <w:rPr/>
                            </w:pPr>
                            <w:r>
                              <w:rPr>
                                <w:rFonts w:ascii="PT Sans" w:hAnsi="PT Sans"/>
                                <w:color w:val="2E74B5" w:themeColor="accent1" w:themeShade="bf"/>
                                <w:u w:val="single" w:color="FFFFFF"/>
                              </w:rPr>
                              <w:fldChar w:fldCharType="begin" w:fldLock="true"/>
                            </w:r>
                            <w:r>
                              <w:instrText> DOCPROPERTY "ForInDate"</w:instrText>
                            </w:r>
                            <w:r>
                              <w:fldChar w:fldCharType="separate"/>
                            </w:r>
                            <w:r>
                              <w:t xml:space="preserve">                  </w: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pStyle w:val="Style21"/>
              <w:spacing w:lineRule="auto" w:line="288" w:before="120" w:after="0"/>
              <w:ind w:right="-1" w:hanging="0"/>
              <w:rPr>
                <w:rFonts w:ascii="PT Sans" w:hAnsi="PT Sans"/>
                <w:bCs/>
                <w:iCs/>
                <w:color w:val="1F4E79" w:themeColor="accent1" w:themeShade="80"/>
                <w:sz w:val="21"/>
                <w:szCs w:val="21"/>
              </w:rPr>
            </w:pPr>
            <w:r>
              <w:rPr>
                <w:rFonts w:ascii="PT Sans" w:hAnsi="PT Sans"/>
                <w:bCs/>
                <w:iCs/>
                <w:color w:val="1F4E79" w:themeColor="accent1" w:themeShade="80"/>
                <w:sz w:val="21"/>
                <w:szCs w:val="21"/>
              </w:rPr>
            </w:r>
          </w:p>
        </w:tc>
        <w:tc>
          <w:tcPr>
            <w:tcW w:w="3969" w:type="dxa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before="0" w:after="0"/>
              <w:ind w:right="-108" w:hanging="0"/>
              <w:rPr>
                <w:rFonts w:ascii="PT Sans" w:hAnsi="PT Sans"/>
                <w:sz w:val="28"/>
                <w:szCs w:val="28"/>
              </w:rPr>
            </w:pPr>
            <w:r>
              <w:rPr>
                <w:rFonts w:ascii="PT Sans" w:hAnsi="PT Sans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ind w:right="-108" w:hanging="0"/>
              <w:rPr>
                <w:rFonts w:ascii="PT Sans" w:hAnsi="PT Sans"/>
                <w:sz w:val="28"/>
                <w:szCs w:val="28"/>
              </w:rPr>
            </w:pPr>
            <w:r>
              <w:rPr>
                <w:rFonts w:ascii="PT Sans" w:hAnsi="PT Sans"/>
                <w:sz w:val="28"/>
                <w:szCs w:val="28"/>
              </w:rPr>
              <w:t>Министру энергетики</w:t>
            </w:r>
          </w:p>
          <w:p>
            <w:pPr>
              <w:pStyle w:val="Normal"/>
              <w:spacing w:before="0" w:after="0"/>
              <w:ind w:right="-108" w:hanging="0"/>
              <w:rPr>
                <w:rFonts w:ascii="PT Sans" w:hAnsi="PT Sans"/>
                <w:sz w:val="28"/>
                <w:szCs w:val="28"/>
              </w:rPr>
            </w:pPr>
            <w:r>
              <w:rPr>
                <w:rFonts w:ascii="PT Sans" w:hAnsi="PT Sans"/>
                <w:sz w:val="28"/>
                <w:szCs w:val="28"/>
              </w:rPr>
              <w:t>Российской Федерации</w:t>
            </w:r>
          </w:p>
          <w:p>
            <w:pPr>
              <w:pStyle w:val="Normal"/>
              <w:spacing w:before="0" w:after="0"/>
              <w:ind w:right="-108" w:hanging="0"/>
              <w:rPr>
                <w:rFonts w:ascii="PT Sans" w:hAnsi="PT Sans"/>
                <w:sz w:val="28"/>
                <w:szCs w:val="28"/>
              </w:rPr>
            </w:pPr>
            <w:r>
              <w:rPr>
                <w:rFonts w:ascii="PT Sans" w:hAnsi="PT Sans"/>
                <w:sz w:val="28"/>
                <w:szCs w:val="28"/>
              </w:rPr>
              <w:t>Цивилеву С.Е.</w:t>
            </w:r>
          </w:p>
          <w:p>
            <w:pPr>
              <w:pStyle w:val="Normal"/>
              <w:spacing w:before="0" w:after="0"/>
              <w:ind w:right="-108" w:hanging="0"/>
              <w:rPr>
                <w:rFonts w:ascii="PT Sans" w:hAnsi="PT Sans"/>
                <w:sz w:val="28"/>
                <w:szCs w:val="28"/>
              </w:rPr>
            </w:pPr>
            <w:r>
              <w:rPr>
                <w:rFonts w:ascii="PT Sans" w:hAnsi="PT Sans"/>
                <w:sz w:val="28"/>
                <w:szCs w:val="28"/>
              </w:rPr>
            </w:r>
          </w:p>
          <w:p>
            <w:pPr>
              <w:pStyle w:val="Style21"/>
              <w:spacing w:lineRule="auto" w:line="276" w:before="0" w:after="0"/>
              <w:ind w:right="-1" w:hanging="0"/>
              <w:jc w:val="right"/>
              <w:rPr>
                <w:rFonts w:ascii="PT Sans" w:hAnsi="PT Sans"/>
                <w:bCs/>
                <w:iCs/>
                <w:color w:val="0000FF"/>
                <w:sz w:val="17"/>
                <w:szCs w:val="17"/>
              </w:rPr>
            </w:pPr>
            <w:r>
              <w:rPr>
                <w:rFonts w:ascii="PT Sans" w:hAnsi="PT Sans"/>
                <w:bCs/>
                <w:iCs/>
                <w:color w:val="0000FF"/>
                <w:sz w:val="17"/>
                <w:szCs w:val="17"/>
              </w:rPr>
            </w:r>
          </w:p>
        </w:tc>
      </w:tr>
    </w:tbl>
    <w:p>
      <w:pPr>
        <w:pStyle w:val="Style21"/>
        <w:tabs>
          <w:tab w:val="left" w:pos="600" w:leader="none"/>
        </w:tabs>
        <w:spacing w:before="120" w:after="0"/>
        <w:ind w:right="-1" w:hanging="0"/>
        <w:jc w:val="center"/>
        <w:rPr>
          <w:rFonts w:ascii="PT Sans" w:hAnsi="PT Sans"/>
          <w:b/>
          <w:b/>
          <w:sz w:val="26"/>
          <w:szCs w:val="26"/>
        </w:rPr>
      </w:pPr>
      <w:r>
        <w:rPr>
          <w:rFonts w:ascii="PT Sans" w:hAnsi="PT Sans"/>
          <w:b/>
          <w:sz w:val="26"/>
          <w:szCs w:val="26"/>
        </w:rPr>
        <w:t>Ходатайство об установлении публичного сервитута</w:t>
      </w:r>
    </w:p>
    <w:p>
      <w:pPr>
        <w:pStyle w:val="Style21"/>
        <w:tabs>
          <w:tab w:val="left" w:pos="600" w:leader="none"/>
        </w:tabs>
        <w:spacing w:before="120" w:after="0"/>
        <w:ind w:right="-1" w:hanging="0"/>
        <w:jc w:val="center"/>
        <w:rPr>
          <w:rFonts w:ascii="PT Sans" w:hAnsi="PT Sans"/>
          <w:b/>
          <w:b/>
          <w:sz w:val="26"/>
          <w:szCs w:val="26"/>
        </w:rPr>
      </w:pPr>
      <w:r>
        <w:rPr>
          <w:rFonts w:ascii="PT Sans" w:hAnsi="PT Sans"/>
          <w:b/>
          <w:sz w:val="26"/>
          <w:szCs w:val="26"/>
        </w:rPr>
      </w:r>
    </w:p>
    <w:tbl>
      <w:tblPr>
        <w:tblStyle w:val="TableGrid"/>
        <w:tblW w:w="10342" w:type="dxa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val="01e0"/>
      </w:tblPr>
      <w:tblGrid>
        <w:gridCol w:w="385"/>
        <w:gridCol w:w="509"/>
        <w:gridCol w:w="45"/>
        <w:gridCol w:w="1253"/>
        <w:gridCol w:w="269"/>
        <w:gridCol w:w="376"/>
        <w:gridCol w:w="16"/>
        <w:gridCol w:w="3210"/>
        <w:gridCol w:w="631"/>
        <w:gridCol w:w="540"/>
        <w:gridCol w:w="152"/>
        <w:gridCol w:w="253"/>
        <w:gridCol w:w="605"/>
        <w:gridCol w:w="841"/>
        <w:gridCol w:w="295"/>
        <w:gridCol w:w="214"/>
        <w:gridCol w:w="136"/>
        <w:gridCol w:w="206"/>
        <w:gridCol w:w="405"/>
      </w:tblGrid>
      <w:tr>
        <w:trPr/>
        <w:tc>
          <w:tcPr>
            <w:tcW w:w="385" w:type="dxa"/>
            <w:vMerge w:val="restart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1</w:t>
            </w:r>
          </w:p>
        </w:tc>
        <w:tc>
          <w:tcPr>
            <w:tcW w:w="554" w:type="dxa"/>
            <w:gridSpan w:val="2"/>
            <w:tcBorders>
              <w:bottom w:val="nil"/>
              <w:right w:val="nil"/>
              <w:insideH w:val="nil"/>
              <w:insideV w:val="nil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</w:r>
          </w:p>
        </w:tc>
        <w:tc>
          <w:tcPr>
            <w:tcW w:w="8791" w:type="dxa"/>
            <w:gridSpan w:val="14"/>
            <w:tcBorders>
              <w:left w:val="nil"/>
              <w:right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Министерство энергетики РФ (Минэнерго РФ)</w:t>
            </w:r>
          </w:p>
        </w:tc>
        <w:tc>
          <w:tcPr>
            <w:tcW w:w="611" w:type="dxa"/>
            <w:gridSpan w:val="2"/>
            <w:tcBorders>
              <w:left w:val="nil"/>
              <w:bottom w:val="nil"/>
              <w:insideH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vMerge w:val="continue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554" w:type="dxa"/>
            <w:gridSpan w:val="2"/>
            <w:tcBorders>
              <w:top w:val="nil"/>
              <w:right w:val="nil"/>
              <w:insideV w:val="nil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</w:r>
          </w:p>
        </w:tc>
        <w:tc>
          <w:tcPr>
            <w:tcW w:w="8791" w:type="dxa"/>
            <w:gridSpan w:val="14"/>
            <w:tcBorders>
              <w:top w:val="nil"/>
              <w:left w:val="nil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(наименование органа, принимающего решение об установлении публичного сервитута)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2</w:t>
            </w:r>
          </w:p>
        </w:tc>
        <w:tc>
          <w:tcPr>
            <w:tcW w:w="9956" w:type="dxa"/>
            <w:gridSpan w:val="18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Сведения о лице, представившем ходатайство об установлении публичного сервитута</w:t>
              <w:br/>
              <w:t>(далее – заявитель):</w:t>
            </w:r>
          </w:p>
        </w:tc>
      </w:tr>
      <w:tr>
        <w:trPr/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2.1</w:t>
            </w:r>
          </w:p>
        </w:tc>
        <w:tc>
          <w:tcPr>
            <w:tcW w:w="2468" w:type="dxa"/>
            <w:gridSpan w:val="6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Полное наименование</w:t>
            </w:r>
          </w:p>
        </w:tc>
        <w:tc>
          <w:tcPr>
            <w:tcW w:w="7488" w:type="dxa"/>
            <w:gridSpan w:val="12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 xml:space="preserve">Акционерное общество </w:t>
            </w:r>
            <w:r>
              <w:rPr>
                <w:rFonts w:ascii="PT Sans" w:hAnsi="PT Sans"/>
                <w:spacing w:val="-1"/>
                <w:sz w:val="24"/>
                <w:szCs w:val="24"/>
              </w:rPr>
              <w:t>«Транснефть - Приволга»</w:t>
            </w:r>
          </w:p>
        </w:tc>
      </w:tr>
      <w:tr>
        <w:trPr/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2.2</w:t>
            </w:r>
          </w:p>
        </w:tc>
        <w:tc>
          <w:tcPr>
            <w:tcW w:w="2468" w:type="dxa"/>
            <w:gridSpan w:val="6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7488" w:type="dxa"/>
            <w:gridSpan w:val="12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pacing w:val="-1"/>
                <w:sz w:val="24"/>
                <w:szCs w:val="24"/>
              </w:rPr>
              <w:t>АО «Транснефть - Приволга»</w:t>
            </w:r>
          </w:p>
        </w:tc>
      </w:tr>
      <w:tr>
        <w:trPr/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2.3</w:t>
            </w:r>
          </w:p>
        </w:tc>
        <w:tc>
          <w:tcPr>
            <w:tcW w:w="2468" w:type="dxa"/>
            <w:gridSpan w:val="6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7488" w:type="dxa"/>
            <w:gridSpan w:val="12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Акционерное общество</w:t>
            </w:r>
          </w:p>
        </w:tc>
      </w:tr>
      <w:tr>
        <w:trPr/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2.4</w:t>
            </w:r>
          </w:p>
        </w:tc>
        <w:tc>
          <w:tcPr>
            <w:tcW w:w="2468" w:type="dxa"/>
            <w:gridSpan w:val="6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7488" w:type="dxa"/>
            <w:gridSpan w:val="12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443020, г. Самара, ул. Ленинская, д. 100</w:t>
            </w:r>
          </w:p>
        </w:tc>
      </w:tr>
      <w:tr>
        <w:trPr/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2.5</w:t>
            </w:r>
          </w:p>
        </w:tc>
        <w:tc>
          <w:tcPr>
            <w:tcW w:w="2468" w:type="dxa"/>
            <w:gridSpan w:val="6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488" w:type="dxa"/>
            <w:gridSpan w:val="12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  <w:sz w:val="24"/>
                <w:szCs w:val="24"/>
                <w:lang w:val="en-US"/>
              </w:rPr>
              <w:t>privolga@sam.transneft.ru</w:t>
            </w:r>
          </w:p>
        </w:tc>
      </w:tr>
      <w:tr>
        <w:trPr/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2.6</w:t>
            </w:r>
          </w:p>
        </w:tc>
        <w:tc>
          <w:tcPr>
            <w:tcW w:w="2468" w:type="dxa"/>
            <w:gridSpan w:val="6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ОГРН</w:t>
            </w:r>
          </w:p>
        </w:tc>
        <w:tc>
          <w:tcPr>
            <w:tcW w:w="7488" w:type="dxa"/>
            <w:gridSpan w:val="12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rPr>
                <w:rFonts w:ascii="PT Sans" w:hAnsi="PT Sans"/>
                <w:color w:val="000000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1026301416371</w:t>
            </w:r>
          </w:p>
        </w:tc>
      </w:tr>
      <w:tr>
        <w:trPr/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2.7</w:t>
            </w:r>
          </w:p>
        </w:tc>
        <w:tc>
          <w:tcPr>
            <w:tcW w:w="2468" w:type="dxa"/>
            <w:gridSpan w:val="6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ИНН</w:t>
            </w:r>
          </w:p>
        </w:tc>
        <w:tc>
          <w:tcPr>
            <w:tcW w:w="7488" w:type="dxa"/>
            <w:gridSpan w:val="12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6317024749</w:t>
            </w:r>
          </w:p>
        </w:tc>
      </w:tr>
      <w:tr>
        <w:trPr>
          <w:trHeight w:val="400" w:hRule="atLeast"/>
        </w:trPr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3</w:t>
            </w:r>
          </w:p>
        </w:tc>
        <w:tc>
          <w:tcPr>
            <w:tcW w:w="9956" w:type="dxa"/>
            <w:gridSpan w:val="18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Сведения о представителе заявителя:</w:t>
            </w:r>
          </w:p>
        </w:tc>
      </w:tr>
      <w:tr>
        <w:trPr/>
        <w:tc>
          <w:tcPr>
            <w:tcW w:w="385" w:type="dxa"/>
            <w:vMerge w:val="restart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3.1</w:t>
            </w:r>
          </w:p>
        </w:tc>
        <w:tc>
          <w:tcPr>
            <w:tcW w:w="2468" w:type="dxa"/>
            <w:gridSpan w:val="6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Фамилия</w:t>
            </w:r>
          </w:p>
        </w:tc>
        <w:tc>
          <w:tcPr>
            <w:tcW w:w="7488" w:type="dxa"/>
            <w:gridSpan w:val="12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right="57" w:hanging="0"/>
              <w:rPr>
                <w:rFonts w:ascii="PT Sans" w:hAnsi="PT Sans"/>
                <w:color w:val="FF0000"/>
                <w:sz w:val="24"/>
                <w:szCs w:val="24"/>
              </w:rPr>
            </w:pPr>
            <w:r>
              <w:rPr>
                <w:rFonts w:ascii="PT Sans" w:hAnsi="PT Sans"/>
                <w:bCs/>
                <w:sz w:val="24"/>
                <w:szCs w:val="24"/>
              </w:rPr>
              <w:t xml:space="preserve"> </w:t>
            </w:r>
            <w:r>
              <w:rPr>
                <w:rFonts w:ascii="PT Sans" w:hAnsi="PT Sans"/>
                <w:bCs/>
                <w:sz w:val="24"/>
                <w:szCs w:val="24"/>
              </w:rPr>
              <w:t>Бузлаев</w:t>
            </w:r>
          </w:p>
        </w:tc>
      </w:tr>
      <w:tr>
        <w:trPr/>
        <w:tc>
          <w:tcPr>
            <w:tcW w:w="385" w:type="dxa"/>
            <w:vMerge w:val="continue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2468" w:type="dxa"/>
            <w:gridSpan w:val="6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Имя</w:t>
            </w:r>
          </w:p>
        </w:tc>
        <w:tc>
          <w:tcPr>
            <w:tcW w:w="7488" w:type="dxa"/>
            <w:gridSpan w:val="12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rPr>
                <w:rFonts w:ascii="PT Sans" w:hAnsi="PT Sans"/>
                <w:color w:val="FF0000"/>
                <w:sz w:val="24"/>
                <w:szCs w:val="24"/>
              </w:rPr>
            </w:pPr>
            <w:r>
              <w:rPr>
                <w:rFonts w:ascii="PT Sans" w:hAnsi="PT Sans"/>
                <w:bCs/>
                <w:sz w:val="24"/>
                <w:szCs w:val="24"/>
              </w:rPr>
              <w:t>Дмитрий</w:t>
            </w:r>
          </w:p>
        </w:tc>
      </w:tr>
      <w:tr>
        <w:trPr/>
        <w:tc>
          <w:tcPr>
            <w:tcW w:w="385" w:type="dxa"/>
            <w:vMerge w:val="continue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2468" w:type="dxa"/>
            <w:gridSpan w:val="6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Отчество (при наличии)</w:t>
            </w:r>
          </w:p>
        </w:tc>
        <w:tc>
          <w:tcPr>
            <w:tcW w:w="7488" w:type="dxa"/>
            <w:gridSpan w:val="12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rPr>
                <w:rFonts w:ascii="PT Sans" w:hAnsi="PT Sans"/>
                <w:color w:val="FF0000"/>
                <w:sz w:val="24"/>
                <w:szCs w:val="24"/>
              </w:rPr>
            </w:pPr>
            <w:r>
              <w:rPr>
                <w:rFonts w:ascii="PT Sans" w:hAnsi="PT Sans"/>
                <w:bCs/>
                <w:sz w:val="24"/>
                <w:szCs w:val="24"/>
              </w:rPr>
              <w:t>Юрьевич</w:t>
            </w:r>
          </w:p>
        </w:tc>
      </w:tr>
      <w:tr>
        <w:trPr/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3.2</w:t>
            </w:r>
          </w:p>
        </w:tc>
        <w:tc>
          <w:tcPr>
            <w:tcW w:w="2468" w:type="dxa"/>
            <w:gridSpan w:val="6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488" w:type="dxa"/>
            <w:gridSpan w:val="12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rPr>
                <w:rFonts w:ascii="PT Sans" w:hAnsi="PT Sans"/>
                <w:color w:val="FF0000"/>
                <w:sz w:val="24"/>
                <w:szCs w:val="24"/>
              </w:rPr>
            </w:pPr>
            <w:r>
              <w:rPr>
                <w:rFonts w:ascii="PT Sans" w:hAnsi="PT Sans"/>
                <w:color w:val="000000"/>
                <w:sz w:val="24"/>
                <w:szCs w:val="24"/>
                <w:lang w:val="en-US"/>
              </w:rPr>
              <w:t>privolga@sam.transneft.ru</w:t>
            </w:r>
          </w:p>
        </w:tc>
      </w:tr>
      <w:tr>
        <w:trPr/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3.3</w:t>
            </w:r>
          </w:p>
        </w:tc>
        <w:tc>
          <w:tcPr>
            <w:tcW w:w="2468" w:type="dxa"/>
            <w:gridSpan w:val="6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Телефон</w:t>
            </w:r>
          </w:p>
        </w:tc>
        <w:tc>
          <w:tcPr>
            <w:tcW w:w="7488" w:type="dxa"/>
            <w:gridSpan w:val="12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Тел.: (846) 250-02-41, 250-02-39</w:t>
            </w:r>
          </w:p>
        </w:tc>
      </w:tr>
      <w:tr>
        <w:trPr/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3.4</w:t>
            </w:r>
          </w:p>
        </w:tc>
        <w:tc>
          <w:tcPr>
            <w:tcW w:w="2468" w:type="dxa"/>
            <w:gridSpan w:val="6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7488" w:type="dxa"/>
            <w:gridSpan w:val="12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Генеральный директор, действующий на основании Устава</w:t>
            </w:r>
          </w:p>
        </w:tc>
      </w:tr>
      <w:tr>
        <w:trPr>
          <w:trHeight w:val="274" w:hRule="atLeast"/>
        </w:trPr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4</w:t>
            </w:r>
          </w:p>
        </w:tc>
        <w:tc>
          <w:tcPr>
            <w:tcW w:w="9956" w:type="dxa"/>
            <w:gridSpan w:val="18"/>
            <w:tcBorders/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jc w:val="both"/>
              <w:rPr>
                <w:rFonts w:ascii="PT Sans" w:hAnsi="PT Sans"/>
                <w:bCs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 xml:space="preserve">Прошу установить публичный сервитут в отношении земель и земельных участков </w:t>
              <w:br/>
              <w:t>в соответствии с п.1 статьи 39.37 Земельного кодекса Российской Федерации и в целях реконструкции и эксплуатации магистрального нефтепровода федерального значения «</w:t>
            </w:r>
            <w:r>
              <w:rPr>
                <w:rFonts w:ascii="PT Sans" w:hAnsi="PT Sans"/>
                <w:sz w:val="24"/>
                <w:szCs w:val="24"/>
                <w:lang w:eastAsia="en-US"/>
              </w:rPr>
              <w:t>Магистральный нефтепровод «Кулешовка-Куйбышев» 43 км - 46 км, 47 км - 54км. Ду 500. Самарское РНУ. Реконструкция</w:t>
            </w:r>
            <w:r>
              <w:rPr>
                <w:rFonts w:ascii="PT Sans" w:hAnsi="PT Sans"/>
                <w:sz w:val="24"/>
                <w:szCs w:val="24"/>
              </w:rPr>
              <w:t>».</w:t>
            </w:r>
          </w:p>
        </w:tc>
      </w:tr>
      <w:tr>
        <w:trPr>
          <w:trHeight w:val="274" w:hRule="atLeast"/>
        </w:trPr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5</w:t>
            </w:r>
          </w:p>
        </w:tc>
        <w:tc>
          <w:tcPr>
            <w:tcW w:w="9956" w:type="dxa"/>
            <w:gridSpan w:val="18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57" w:right="57" w:hanging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 xml:space="preserve">Испрашиваемый срок публичного сервитута на 10 лет.  </w:t>
            </w:r>
          </w:p>
        </w:tc>
      </w:tr>
      <w:tr>
        <w:trPr>
          <w:trHeight w:val="1377" w:hRule="atLeast"/>
        </w:trPr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6</w:t>
            </w:r>
          </w:p>
        </w:tc>
        <w:tc>
          <w:tcPr>
            <w:tcW w:w="9956" w:type="dxa"/>
            <w:gridSpan w:val="18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57" w:right="57" w:hanging="0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</w:t>
              <w:br/>
              <w:t xml:space="preserve">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возникновении таких обстоятельств) 12 месяцев по земельным участкам, предоставленным или принадлежащим гражданам, юридическим лицам и 30 месяцев, </w:t>
              <w:br/>
              <w:t>в соответствии с Графиком проведения работ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лицам, указанным в пункте 12 настоящего Ходатайства.</w:t>
            </w:r>
          </w:p>
        </w:tc>
      </w:tr>
      <w:tr>
        <w:trPr>
          <w:trHeight w:val="1953" w:hRule="atLeast"/>
        </w:trPr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7</w:t>
            </w:r>
          </w:p>
        </w:tc>
        <w:tc>
          <w:tcPr>
            <w:tcW w:w="9956" w:type="dxa"/>
            <w:gridSpan w:val="18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right="57" w:hanging="0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 xml:space="preserve">Обоснование необходимости установления публичного сервитута: </w:t>
            </w:r>
          </w:p>
          <w:p>
            <w:pPr>
              <w:pStyle w:val="Normal"/>
              <w:spacing w:lineRule="auto" w:line="240" w:before="0" w:after="0"/>
              <w:ind w:right="57" w:hanging="0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Приказ Минэнерго РФ от 13.04.2026 № 67тд об утверждении документации по планировке территории по объекту «</w:t>
            </w:r>
            <w:r>
              <w:rPr>
                <w:rFonts w:ascii="PT Sans" w:hAnsi="PT Sans"/>
                <w:sz w:val="24"/>
                <w:szCs w:val="24"/>
                <w:lang w:eastAsia="en-US"/>
              </w:rPr>
              <w:t>Магистральный нефтепровод «Кулешовка-Куйбышев» 43 км - 46 км, 47 км - 54км. Ду 500. Самарское РНУ. Реконструкция</w:t>
            </w:r>
            <w:r>
              <w:rPr>
                <w:rFonts w:ascii="PT Sans" w:hAnsi="PT Sans"/>
                <w:sz w:val="24"/>
                <w:szCs w:val="24"/>
              </w:rPr>
              <w:t xml:space="preserve">».  </w:t>
            </w:r>
          </w:p>
          <w:p>
            <w:pPr>
              <w:pStyle w:val="Normal"/>
              <w:spacing w:lineRule="auto" w:line="240" w:before="0" w:after="0"/>
              <w:ind w:right="57" w:hanging="0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 xml:space="preserve">Право собственности подтверждается выпиской из ЕГРН на объект недвижимости </w:t>
              <w:br/>
              <w:t>от 10.02.2025.</w:t>
            </w:r>
          </w:p>
          <w:p>
            <w:pPr>
              <w:pStyle w:val="Normal"/>
              <w:spacing w:lineRule="auto" w:line="240" w:before="0" w:after="0"/>
              <w:ind w:right="57" w:hanging="0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</w:tr>
      <w:tr>
        <w:trPr>
          <w:trHeight w:val="1693" w:hRule="atLeast"/>
        </w:trPr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keepNext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8</w:t>
            </w:r>
          </w:p>
        </w:tc>
        <w:tc>
          <w:tcPr>
            <w:tcW w:w="9956" w:type="dxa"/>
            <w:gridSpan w:val="18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57" w:right="57" w:hanging="0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 xml:space="preserve">Сведения о правообладателе инженерного сооружения, которое переносится в связи </w:t>
              <w:br/>
              <w:t xml:space="preserve">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</w:t>
              <w:br/>
              <w:t>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нужд).</w:t>
            </w:r>
          </w:p>
        </w:tc>
      </w:tr>
      <w:tr>
        <w:trPr>
          <w:trHeight w:val="754" w:hRule="atLeast"/>
        </w:trPr>
        <w:tc>
          <w:tcPr>
            <w:tcW w:w="385" w:type="dxa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2076" w:type="dxa"/>
            <w:gridSpan w:val="4"/>
            <w:tcBorders/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57" w:right="57" w:hanging="0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7880" w:type="dxa"/>
            <w:gridSpan w:val="14"/>
            <w:tcBorders/>
            <w:shd w:fill="auto" w:val="clear"/>
            <w:tcMar>
              <w:left w:w="28" w:type="dxa"/>
            </w:tcMar>
          </w:tcPr>
          <w:tbl>
            <w:tblPr>
              <w:tblW w:w="7911" w:type="dxa"/>
              <w:jc w:val="center"/>
              <w:tblInd w:w="0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top w:w="0" w:type="dxa"/>
                <w:left w:w="103" w:type="dxa"/>
                <w:bottom w:w="0" w:type="dxa"/>
                <w:right w:w="108" w:type="dxa"/>
              </w:tblCellMar>
              <w:tblLook w:val="04a0"/>
            </w:tblPr>
            <w:tblGrid>
              <w:gridCol w:w="2419"/>
              <w:gridCol w:w="5491"/>
            </w:tblGrid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widowControl/>
                    <w:spacing w:lineRule="auto" w:line="240" w:before="0" w:after="0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63:22:0000000:240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Самарская обл., р-н Кинельский, Бариновско-Лебяжинское месторождение Терешкинский купол.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widowControl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63:22:0000000:329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Самарская область, Кинельский район.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widowControl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63:22:0000000:4817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Самарская область, муниципальный район Кинельский, сельское поселение Домашка.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widowControl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63:22:0000000:160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rPr>
                      <w:rFonts w:ascii="PT Sans" w:hAnsi="PT Sans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sz w:val="24"/>
                      <w:szCs w:val="24"/>
                    </w:rPr>
                    <w:t>Самарская обл., р-н Кинельский, автодорога "Самара-Оренбург"-Парфеновка.</w:t>
                  </w:r>
                </w:p>
              </w:tc>
            </w:tr>
            <w:tr>
              <w:trPr>
                <w:trHeight w:val="83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widowControl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63:22:1301003:40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</w:tcPr>
                <w:p>
                  <w:pPr>
                    <w:pStyle w:val="Normal"/>
                    <w:rPr>
                      <w:rFonts w:ascii="PT Sans" w:hAnsi="PT Sans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sz w:val="24"/>
                      <w:szCs w:val="24"/>
                    </w:rPr>
                    <w:t>Самарская область, Кинельский район, ТОО им.Калинина.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widowControl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63:22:1301002:121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Самарская область, Кинельский район, ТОО имени Калинина.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sz w:val="24"/>
                      <w:szCs w:val="24"/>
                    </w:rPr>
                    <w:t>63:22:1301002:122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="Arial" w:ascii="PT Sans" w:hAnsi="PT Sans"/>
                      <w:color w:val="000000" w:themeColor="text1"/>
                      <w:sz w:val="24"/>
                      <w:szCs w:val="24"/>
                      <w:shd w:fill="FFFFFF" w:val="clear"/>
                    </w:rPr>
                    <w:t>Самарская область, Кинельский район, ТОО имени Калинина.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63:22:1301002:123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="Arial" w:ascii="PT Sans" w:hAnsi="PT Sans"/>
                      <w:color w:val="000000" w:themeColor="text1"/>
                      <w:sz w:val="24"/>
                      <w:szCs w:val="24"/>
                      <w:shd w:fill="FFFFFF" w:val="clear"/>
                    </w:rPr>
                    <w:t>Самарская область, Кинельский район, ТОО им.Калинина.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63:22:1301002:131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 w:cs="Arial"/>
                      <w:color w:val="000000" w:themeColor="text1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cs="Arial" w:ascii="PT Sans" w:hAnsi="PT Sans"/>
                      <w:color w:val="000000" w:themeColor="text1"/>
                      <w:sz w:val="24"/>
                      <w:szCs w:val="24"/>
                      <w:shd w:fill="FFFFFF" w:val="clear"/>
                    </w:rPr>
                    <w:t>Самарская область, Кинельский район, ТОО имени  Калинина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63:22:0000000:121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 w:cs="Arial"/>
                      <w:color w:val="000000" w:themeColor="text1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cs="Arial" w:ascii="PT Sans" w:hAnsi="PT Sans"/>
                      <w:color w:val="000000" w:themeColor="text1"/>
                      <w:sz w:val="24"/>
                      <w:szCs w:val="24"/>
                      <w:shd w:fill="FFFFFF" w:val="clear"/>
                    </w:rPr>
                    <w:t>Самарская обл, р-н Кинельский, ТОО им. Калинина.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63:22:0000000:730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 w:cs="Arial"/>
                      <w:color w:val="000000" w:themeColor="text1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cs="Arial" w:ascii="PT Sans" w:hAnsi="PT Sans"/>
                      <w:color w:val="000000" w:themeColor="text1"/>
                      <w:sz w:val="24"/>
                      <w:szCs w:val="24"/>
                      <w:shd w:fill="FFFFFF" w:val="clear"/>
                    </w:rPr>
                    <w:t>Самарская область,  Кинельский район, земли ТОО им.Калинина.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63:22:1301004:24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 w:cs="Arial"/>
                      <w:color w:val="000000" w:themeColor="text1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cs="Arial" w:ascii="PT Sans" w:hAnsi="PT Sans"/>
                      <w:color w:val="000000" w:themeColor="text1"/>
                      <w:sz w:val="24"/>
                      <w:szCs w:val="24"/>
                      <w:shd w:fill="FFFFFF" w:val="clear"/>
                    </w:rPr>
                    <w:t>Самарская область, Кинельский район, ТОО имени Калинина.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63:22:1301004:25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 w:cs="Arial"/>
                      <w:color w:val="000000" w:themeColor="text1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cs="Arial" w:ascii="PT Sans" w:hAnsi="PT Sans"/>
                      <w:color w:val="000000" w:themeColor="text1"/>
                      <w:sz w:val="24"/>
                      <w:szCs w:val="24"/>
                      <w:shd w:fill="FFFFFF" w:val="clear"/>
                    </w:rPr>
                    <w:t>Самарская область, Кинельский район, ТОО имени Калинина.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63:22:1301004:26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 w:cs="Arial"/>
                      <w:color w:val="000000" w:themeColor="text1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cs="Arial" w:ascii="PT Sans" w:hAnsi="PT Sans"/>
                      <w:color w:val="000000" w:themeColor="text1"/>
                      <w:sz w:val="24"/>
                      <w:szCs w:val="24"/>
                      <w:shd w:fill="FFFFFF" w:val="clear"/>
                    </w:rPr>
                    <w:t>Самарская область, Кинельский район, ТОО имени Калинина.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63:22:0000000:3766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 w:cs="Arial"/>
                      <w:color w:val="000000" w:themeColor="text1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cs="Arial" w:ascii="PT Sans" w:hAnsi="PT Sans"/>
                      <w:color w:val="000000" w:themeColor="text1"/>
                      <w:sz w:val="24"/>
                      <w:szCs w:val="24"/>
                      <w:shd w:fill="FFFFFF" w:val="clear"/>
                    </w:rPr>
                    <w:t>Самарская область, р-н. Кинельский, с/п. Домашка.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63:22:0000000:4446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 w:cs="Arial"/>
                      <w:color w:val="000000" w:themeColor="text1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cs="Arial" w:ascii="PT Sans" w:hAnsi="PT Sans"/>
                      <w:color w:val="000000" w:themeColor="text1"/>
                      <w:sz w:val="24"/>
                      <w:szCs w:val="24"/>
                      <w:shd w:fill="FFFFFF" w:val="clear"/>
                    </w:rPr>
                    <w:t>Самарская область, Кинельский р-н, земли ТОО "имени Калинина".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63:22:0000000:45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 w:cs="Arial"/>
                      <w:color w:val="000000" w:themeColor="text1"/>
                      <w:sz w:val="24"/>
                      <w:szCs w:val="24"/>
                      <w:highlight w:val="white"/>
                    </w:rPr>
                  </w:pPr>
                  <w:bookmarkStart w:id="0" w:name="_GoBack"/>
                  <w:bookmarkEnd w:id="0"/>
                  <w:r>
                    <w:rPr>
                      <w:rFonts w:cs="Arial" w:ascii="PT Sans" w:hAnsi="PT Sans"/>
                      <w:color w:val="000000" w:themeColor="text1"/>
                      <w:sz w:val="24"/>
                      <w:szCs w:val="24"/>
                      <w:shd w:fill="FFFFFF" w:val="clear"/>
                    </w:rPr>
                    <w:t>Местоположение установлено относительно ориентира, расположенного в границах участка. Почтовый адрес ориентира: Самарская область, Кинельский район, ЛЭП 220 кВ "Просвет-1, Просвет-2" (ПС Просвет-220/110/6 кВ - ПС Кинельская-220/110/35/ кВ, ПС Просвет-220/110/6 кВ - ПС Томыловская 220/110/10 кВ).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63:22:1301002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 w:cs="Arial"/>
                      <w:color w:val="000000" w:themeColor="text1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cs="Arial" w:ascii="PT Sans" w:hAnsi="PT Sans"/>
                      <w:color w:val="000000" w:themeColor="text1"/>
                      <w:sz w:val="24"/>
                      <w:szCs w:val="24"/>
                      <w:shd w:fill="FFFFFF" w:val="clear"/>
                    </w:rPr>
                    <w:t>Самарская область, р-н. Кинельский, с/п. Домашка.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63:22:1301003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 w:cs="Arial"/>
                      <w:color w:val="000000" w:themeColor="text1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cs="Arial" w:ascii="PT Sans" w:hAnsi="PT Sans"/>
                      <w:color w:val="000000" w:themeColor="text1"/>
                      <w:sz w:val="24"/>
                      <w:szCs w:val="24"/>
                      <w:shd w:fill="FFFFFF" w:val="clear"/>
                    </w:rPr>
                    <w:t>Самарская область, р-н. Кинельский, с/п. Домашка.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63:22:1301004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 w:cs="Arial"/>
                      <w:color w:val="000000" w:themeColor="text1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cs="Arial" w:ascii="PT Sans" w:hAnsi="PT Sans"/>
                      <w:color w:val="000000" w:themeColor="text1"/>
                      <w:sz w:val="24"/>
                      <w:szCs w:val="24"/>
                      <w:shd w:fill="FFFFFF" w:val="clear"/>
                    </w:rPr>
                    <w:t>Самарская область, р-н. Кинельский, с/п. Домашка.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63:22:1206001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 w:cs="Arial"/>
                      <w:color w:val="000000" w:themeColor="text1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cs="Arial" w:ascii="PT Sans" w:hAnsi="PT Sans"/>
                      <w:color w:val="000000" w:themeColor="text1"/>
                      <w:sz w:val="24"/>
                      <w:szCs w:val="24"/>
                      <w:shd w:fill="FFFFFF" w:val="clear"/>
                    </w:rPr>
                    <w:t>Самарская область, р-н. Кинельский, с/п. Домашка.</w:t>
                  </w:r>
                </w:p>
              </w:tc>
            </w:tr>
            <w:tr>
              <w:trPr>
                <w:trHeight w:val="559" w:hRule="atLeast"/>
              </w:trPr>
              <w:tc>
                <w:tcPr>
                  <w:tcW w:w="24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jc w:val="center"/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PT Sans" w:hAnsi="PT Sans"/>
                      <w:color w:val="000000" w:themeColor="text1"/>
                      <w:sz w:val="24"/>
                      <w:szCs w:val="24"/>
                    </w:rPr>
                    <w:t>63:22:1206002</w:t>
                  </w:r>
                </w:p>
              </w:tc>
              <w:tc>
                <w:tcPr>
                  <w:tcW w:w="549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  <w:insideH w:val="single" w:sz="4" w:space="0" w:color="00000A"/>
                    <w:insideV w:val="single" w:sz="4" w:space="0" w:color="00000A"/>
                  </w:tcBorders>
                  <w:shd w:color="auto" w:fill="auto" w:val="clear"/>
                  <w:tcMar>
                    <w:left w:w="103" w:type="dxa"/>
                  </w:tcMar>
                  <w:vAlign w:val="center"/>
                </w:tcPr>
                <w:p>
                  <w:pPr>
                    <w:pStyle w:val="Normal"/>
                    <w:rPr>
                      <w:rFonts w:ascii="PT Sans" w:hAnsi="PT Sans" w:cs="Arial"/>
                      <w:color w:val="000000" w:themeColor="text1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cs="Arial" w:ascii="PT Sans" w:hAnsi="PT Sans"/>
                      <w:color w:val="000000" w:themeColor="text1"/>
                      <w:sz w:val="24"/>
                      <w:szCs w:val="24"/>
                      <w:shd w:fill="FFFFFF" w:val="clear"/>
                    </w:rPr>
                    <w:t>Самарская область, р-н. Кинельский, с/п. Домашка.</w:t>
                  </w:r>
                </w:p>
              </w:tc>
            </w:tr>
          </w:tbl>
          <w:p>
            <w:pPr>
              <w:pStyle w:val="Normal"/>
              <w:spacing w:before="0" w:after="0"/>
              <w:rPr>
                <w:rFonts w:ascii="PT Sans" w:hAnsi="PT Sans"/>
                <w:color w:val="000000" w:themeColor="text1"/>
                <w:sz w:val="24"/>
                <w:szCs w:val="24"/>
              </w:rPr>
            </w:pPr>
            <w:r>
              <w:rPr>
                <w:rFonts w:ascii="PT Sans" w:hAnsi="PT Sans"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870" w:hRule="atLeast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10</w:t>
            </w:r>
          </w:p>
        </w:tc>
        <w:tc>
          <w:tcPr>
            <w:tcW w:w="9956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ConsPlusNormal1"/>
              <w:spacing w:lineRule="auto" w:line="240" w:before="0" w:after="0"/>
              <w:jc w:val="both"/>
              <w:rPr>
                <w:rFonts w:ascii="PT Sans" w:hAnsi="PT Sans" w:cs="Times New Roman"/>
                <w:sz w:val="24"/>
                <w:szCs w:val="24"/>
                <w:u w:val="single"/>
              </w:rPr>
            </w:pPr>
            <w:r>
              <w:rPr>
                <w:rFonts w:cs="Times New Roman" w:ascii="PT Sans" w:hAnsi="PT Sans"/>
                <w:sz w:val="24"/>
                <w:szCs w:val="24"/>
              </w:rPr>
              <w:t xml:space="preserve">Право,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</w:t>
            </w:r>
            <w:r>
              <w:rPr>
                <w:rFonts w:cs="Times New Roman" w:ascii="PT Sans" w:hAnsi="PT Sans"/>
                <w:sz w:val="24"/>
                <w:szCs w:val="24"/>
                <w:u w:val="single"/>
              </w:rPr>
              <w:t>Собственность.</w:t>
            </w:r>
          </w:p>
          <w:p>
            <w:pPr>
              <w:pStyle w:val="ConsPlusNormal1"/>
              <w:spacing w:lineRule="auto" w:line="240" w:before="0" w:after="0"/>
              <w:jc w:val="both"/>
              <w:rPr>
                <w:rFonts w:ascii="PT Sans" w:hAnsi="PT Sans" w:cs="Times New Roman"/>
                <w:sz w:val="24"/>
                <w:szCs w:val="24"/>
              </w:rPr>
            </w:pPr>
            <w:r>
              <w:rPr>
                <w:rFonts w:cs="Times New Roman" w:ascii="PT Sans" w:hAnsi="PT Sans"/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11</w:t>
            </w:r>
          </w:p>
        </w:tc>
        <w:tc>
          <w:tcPr>
            <w:tcW w:w="9956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Сведения о способах представления результатов рассмотрения ходатайства:</w:t>
            </w:r>
          </w:p>
        </w:tc>
      </w:tr>
      <w:tr>
        <w:trPr>
          <w:trHeight w:val="382" w:hRule="atLeast"/>
        </w:trPr>
        <w:tc>
          <w:tcPr>
            <w:tcW w:w="38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6309" w:type="dxa"/>
            <w:gridSpan w:val="8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57" w:right="57" w:hanging="0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692" w:type="dxa"/>
            <w:gridSpan w:val="2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2208" w:type="dxa"/>
            <w:gridSpan w:val="5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да</w:t>
            </w:r>
          </w:p>
        </w:tc>
        <w:tc>
          <w:tcPr>
            <w:tcW w:w="747" w:type="dxa"/>
            <w:gridSpan w:val="3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</w:tr>
      <w:tr>
        <w:trPr>
          <w:trHeight w:val="127" w:hRule="atLeast"/>
        </w:trPr>
        <w:tc>
          <w:tcPr>
            <w:tcW w:w="38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6309" w:type="dxa"/>
            <w:gridSpan w:val="8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692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2208" w:type="dxa"/>
            <w:gridSpan w:val="5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(да/нет)</w:t>
            </w:r>
          </w:p>
        </w:tc>
        <w:tc>
          <w:tcPr>
            <w:tcW w:w="747" w:type="dxa"/>
            <w:gridSpan w:val="3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</w:tr>
      <w:tr>
        <w:trPr>
          <w:trHeight w:val="382" w:hRule="atLeast"/>
        </w:trPr>
        <w:tc>
          <w:tcPr>
            <w:tcW w:w="38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6309" w:type="dxa"/>
            <w:gridSpan w:val="8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692" w:type="dxa"/>
            <w:gridSpan w:val="2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2208" w:type="dxa"/>
            <w:gridSpan w:val="5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да</w:t>
            </w:r>
          </w:p>
        </w:tc>
        <w:tc>
          <w:tcPr>
            <w:tcW w:w="747" w:type="dxa"/>
            <w:gridSpan w:val="3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</w:tr>
      <w:tr>
        <w:trPr>
          <w:trHeight w:val="382" w:hRule="atLeast"/>
        </w:trPr>
        <w:tc>
          <w:tcPr>
            <w:tcW w:w="38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6309" w:type="dxa"/>
            <w:gridSpan w:val="8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692" w:type="dxa"/>
            <w:gridSpan w:val="2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2208" w:type="dxa"/>
            <w:gridSpan w:val="5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(да/нет)</w:t>
            </w:r>
          </w:p>
        </w:tc>
        <w:tc>
          <w:tcPr>
            <w:tcW w:w="747" w:type="dxa"/>
            <w:gridSpan w:val="3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</w:tr>
      <w:tr>
        <w:trPr>
          <w:trHeight w:val="332" w:hRule="atLeast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12</w:t>
            </w:r>
          </w:p>
        </w:tc>
        <w:tc>
          <w:tcPr>
            <w:tcW w:w="9956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86" w:hanging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Документы, прилагаемые к ходатайству:</w:t>
            </w:r>
          </w:p>
          <w:p>
            <w:pPr>
              <w:pStyle w:val="Normal"/>
              <w:spacing w:lineRule="auto" w:line="240" w:before="0" w:after="0"/>
              <w:ind w:left="86" w:firstLine="506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 xml:space="preserve">1. Сведения о границах публичного сервитута (графическое описание местоположения границ публичного сервитута и перечень координат характерных точек этих границ) </w:t>
              <w:br/>
              <w:t xml:space="preserve">в форме электронного документа; </w:t>
            </w:r>
          </w:p>
          <w:p>
            <w:pPr>
              <w:pStyle w:val="Normal"/>
              <w:spacing w:lineRule="auto" w:line="240" w:before="0" w:after="0"/>
              <w:ind w:left="86" w:firstLine="506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 xml:space="preserve">2. Приказ Минэнерго РФ от 13.04.2026 №67тд об утверждении документации </w:t>
              <w:br/>
              <w:t>по планировке территории по объекту «</w:t>
            </w:r>
            <w:r>
              <w:rPr>
                <w:rFonts w:ascii="PT Sans" w:hAnsi="PT Sans"/>
                <w:sz w:val="24"/>
                <w:szCs w:val="24"/>
                <w:lang w:eastAsia="en-US"/>
              </w:rPr>
              <w:t>Магистральный нефтепровод «Кулешовка-Куйбышев» 43 км - 46 км, 47 км - 54км. Ду 500. Самарское РНУ. Реконструкция</w:t>
            </w:r>
            <w:r>
              <w:rPr>
                <w:rFonts w:ascii="PT Sans" w:hAnsi="PT Sans"/>
                <w:sz w:val="24"/>
                <w:szCs w:val="24"/>
              </w:rPr>
              <w:t xml:space="preserve">»; </w:t>
            </w:r>
          </w:p>
          <w:p>
            <w:pPr>
              <w:pStyle w:val="Normal"/>
              <w:spacing w:lineRule="auto" w:line="240" w:before="0" w:after="0"/>
              <w:ind w:left="86" w:firstLine="506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 xml:space="preserve">3. Выписка из ЕГРН на сооружение в формате </w:t>
            </w:r>
            <w:r>
              <w:rPr>
                <w:rFonts w:ascii="PT Sans" w:hAnsi="PT Sans"/>
                <w:sz w:val="24"/>
                <w:szCs w:val="24"/>
                <w:lang w:val="en-US"/>
              </w:rPr>
              <w:t>PDF</w:t>
            </w:r>
            <w:r>
              <w:rPr>
                <w:rFonts w:ascii="PT Sans" w:hAnsi="PT Sans"/>
                <w:sz w:val="24"/>
                <w:szCs w:val="24"/>
              </w:rPr>
              <w:t xml:space="preserve"> от 10.02.2025;</w:t>
            </w:r>
          </w:p>
          <w:p>
            <w:pPr>
              <w:pStyle w:val="Normal"/>
              <w:spacing w:lineRule="auto" w:line="240" w:before="0" w:after="0"/>
              <w:ind w:left="86" w:firstLine="506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  <w:lang w:val="en-US"/>
              </w:rPr>
              <w:t>4</w:t>
            </w:r>
            <w:r>
              <w:rPr>
                <w:rFonts w:ascii="PT Sans" w:hAnsi="PT Sans"/>
                <w:sz w:val="24"/>
                <w:szCs w:val="24"/>
              </w:rPr>
              <w:t>. График выполнения работ.</w:t>
            </w:r>
          </w:p>
        </w:tc>
      </w:tr>
      <w:tr>
        <w:trPr/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13</w:t>
            </w:r>
          </w:p>
        </w:tc>
        <w:tc>
          <w:tcPr>
            <w:tcW w:w="9956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</w:t>
              <w:br/>
              <w:t>в автоматизированном режиме.</w:t>
            </w:r>
          </w:p>
        </w:tc>
      </w:tr>
      <w:tr>
        <w:trPr/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14</w:t>
            </w:r>
          </w:p>
        </w:tc>
        <w:tc>
          <w:tcPr>
            <w:tcW w:w="9956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right="57" w:hanging="0"/>
              <w:jc w:val="both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Федерации.</w:t>
            </w:r>
          </w:p>
        </w:tc>
      </w:tr>
      <w:tr>
        <w:trPr/>
        <w:tc>
          <w:tcPr>
            <w:tcW w:w="3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15</w:t>
            </w:r>
          </w:p>
        </w:tc>
        <w:tc>
          <w:tcPr>
            <w:tcW w:w="630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hanging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Подпись:</w:t>
            </w:r>
          </w:p>
        </w:tc>
        <w:tc>
          <w:tcPr>
            <w:tcW w:w="3647" w:type="dxa"/>
            <w:gridSpan w:val="10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Дата:</w:t>
            </w:r>
          </w:p>
        </w:tc>
      </w:tr>
      <w:tr>
        <w:trPr/>
        <w:tc>
          <w:tcPr>
            <w:tcW w:w="38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</w:r>
          </w:p>
        </w:tc>
        <w:tc>
          <w:tcPr>
            <w:tcW w:w="509" w:type="dxa"/>
            <w:tcBorders>
              <w:top w:val="single" w:sz="4" w:space="0" w:color="00000A"/>
              <w:left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1298" w:type="dxa"/>
            <w:gridSpan w:val="2"/>
            <w:vMerge w:val="restart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6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322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631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3647" w:type="dxa"/>
            <w:gridSpan w:val="10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ind w:left="57" w:hanging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</w:tr>
      <w:tr>
        <w:trPr/>
        <w:tc>
          <w:tcPr>
            <w:tcW w:w="38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</w:r>
          </w:p>
        </w:tc>
        <w:tc>
          <w:tcPr>
            <w:tcW w:w="509" w:type="dxa"/>
            <w:tcBorders>
              <w:left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1298" w:type="dxa"/>
            <w:gridSpan w:val="2"/>
            <w:vMerge w:val="continue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64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3226" w:type="dxa"/>
            <w:gridSpan w:val="2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Д.Ю. Бузлаев</w:t>
            </w:r>
          </w:p>
        </w:tc>
        <w:tc>
          <w:tcPr>
            <w:tcW w:w="631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540" w:type="dxa"/>
            <w:tcBorders>
              <w:left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right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«</w:t>
            </w:r>
          </w:p>
        </w:tc>
        <w:tc>
          <w:tcPr>
            <w:tcW w:w="405" w:type="dxa"/>
            <w:gridSpan w:val="2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60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»</w:t>
            </w:r>
          </w:p>
        </w:tc>
        <w:tc>
          <w:tcPr>
            <w:tcW w:w="841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29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556" w:type="dxa"/>
            <w:gridSpan w:val="3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405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57" w:hanging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г.</w:t>
            </w:r>
          </w:p>
        </w:tc>
      </w:tr>
      <w:tr>
        <w:trPr/>
        <w:tc>
          <w:tcPr>
            <w:tcW w:w="38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</w:r>
          </w:p>
        </w:tc>
        <w:tc>
          <w:tcPr>
            <w:tcW w:w="509" w:type="dxa"/>
            <w:tcBorders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1298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(подпись)</w:t>
            </w:r>
          </w:p>
        </w:tc>
        <w:tc>
          <w:tcPr>
            <w:tcW w:w="645" w:type="dxa"/>
            <w:gridSpan w:val="2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3226" w:type="dxa"/>
            <w:gridSpan w:val="2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  <w:t>(инициалы, фамилия)</w:t>
            </w:r>
          </w:p>
        </w:tc>
        <w:tc>
          <w:tcPr>
            <w:tcW w:w="63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  <w:tc>
          <w:tcPr>
            <w:tcW w:w="3647" w:type="dxa"/>
            <w:gridSpan w:val="10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rPr>
                <w:rFonts w:ascii="PT Sans" w:hAnsi="PT Sans"/>
                <w:sz w:val="24"/>
                <w:szCs w:val="24"/>
              </w:rPr>
            </w:pPr>
            <w:r>
              <w:rPr>
                <w:rFonts w:ascii="PT Sans" w:hAnsi="PT Sans"/>
                <w:sz w:val="24"/>
                <w:szCs w:val="24"/>
              </w:rPr>
            </w:r>
          </w:p>
        </w:tc>
      </w:tr>
    </w:tbl>
    <w:p>
      <w:pPr>
        <w:pStyle w:val="Style21"/>
        <w:spacing w:before="120" w:after="0"/>
        <w:rPr>
          <w:rFonts w:ascii="PT Sans" w:hAnsi="PT Sans"/>
          <w:bCs/>
          <w:iCs/>
          <w:sz w:val="20"/>
          <w:szCs w:val="21"/>
        </w:rPr>
      </w:pPr>
      <w:r>
        <w:rPr>
          <w:rFonts w:ascii="PT Sans" w:hAnsi="PT Sans"/>
          <w:bCs/>
          <w:iCs/>
          <w:sz w:val="20"/>
          <w:szCs w:val="21"/>
        </w:rPr>
      </w:r>
    </w:p>
    <w:p>
      <w:pPr>
        <w:pStyle w:val="Style21"/>
        <w:spacing w:before="120" w:after="0"/>
        <w:rPr>
          <w:rFonts w:ascii="PT Sans" w:hAnsi="PT Sans"/>
          <w:bCs/>
          <w:iCs/>
          <w:sz w:val="20"/>
          <w:szCs w:val="21"/>
        </w:rPr>
      </w:pPr>
      <w:r>
        <w:rPr>
          <w:rFonts w:ascii="PT Sans" w:hAnsi="PT Sans"/>
          <w:bCs/>
          <w:iCs/>
          <w:sz w:val="20"/>
          <w:szCs w:val="21"/>
        </w:rPr>
      </w:r>
    </w:p>
    <w:p>
      <w:pPr>
        <w:pStyle w:val="Style21"/>
        <w:spacing w:before="120" w:after="0"/>
        <w:rPr>
          <w:rFonts w:ascii="PT Sans" w:hAnsi="PT Sans"/>
          <w:bCs/>
          <w:iCs/>
          <w:sz w:val="20"/>
          <w:szCs w:val="21"/>
        </w:rPr>
      </w:pPr>
      <w:r>
        <w:rPr>
          <w:rFonts w:ascii="PT Sans" w:hAnsi="PT Sans"/>
          <w:bCs/>
          <w:iCs/>
          <w:sz w:val="20"/>
          <w:szCs w:val="21"/>
        </w:rPr>
      </w:r>
    </w:p>
    <w:p>
      <w:pPr>
        <w:pStyle w:val="Style21"/>
        <w:spacing w:before="120" w:after="0"/>
        <w:rPr>
          <w:rFonts w:ascii="PT Sans" w:hAnsi="PT Sans" w:eastAsia="Calibri" w:cs="Franklin Gothic Book" w:eastAsiaTheme="minorHAnsi"/>
          <w:sz w:val="22"/>
          <w:szCs w:val="22"/>
          <w:lang w:val="ru" w:eastAsia="en-US"/>
        </w:rPr>
      </w:pPr>
      <w:r>
        <w:rPr>
          <w:rFonts w:eastAsia="Calibri" w:cs="Franklin Gothic Book" w:eastAsiaTheme="minorHAnsi" w:ascii="PT Sans" w:hAnsi="PT Sans"/>
          <w:sz w:val="22"/>
          <w:szCs w:val="22"/>
          <w:lang w:val="ru" w:eastAsia="en-US"/>
        </w:rPr>
      </w:r>
    </w:p>
    <w:p>
      <w:pPr>
        <w:pStyle w:val="Style21"/>
        <w:spacing w:before="120" w:after="0"/>
        <w:rPr>
          <w:rFonts w:ascii="PT Sans" w:hAnsi="PT Sans" w:eastAsia="Calibri" w:cs="Franklin Gothic Book" w:eastAsiaTheme="minorHAnsi"/>
          <w:sz w:val="22"/>
          <w:szCs w:val="22"/>
          <w:lang w:val="ru" w:eastAsia="en-US"/>
        </w:rPr>
      </w:pPr>
      <w:r>
        <w:rPr>
          <w:rFonts w:eastAsia="Calibri" w:cs="Franklin Gothic Book" w:eastAsiaTheme="minorHAnsi" w:ascii="PT Sans" w:hAnsi="PT Sans"/>
          <w:sz w:val="22"/>
          <w:szCs w:val="22"/>
          <w:lang w:val="ru" w:eastAsia="en-US"/>
        </w:rPr>
      </w:r>
    </w:p>
    <w:p>
      <w:pPr>
        <w:pStyle w:val="Style21"/>
        <w:spacing w:before="120" w:after="0"/>
        <w:rPr>
          <w:rFonts w:ascii="PT Sans" w:hAnsi="PT Sans" w:eastAsia="Calibri" w:cs="Franklin Gothic Book" w:eastAsiaTheme="minorHAnsi"/>
          <w:sz w:val="22"/>
          <w:szCs w:val="22"/>
          <w:lang w:val="ru" w:eastAsia="en-US"/>
        </w:rPr>
      </w:pPr>
      <w:r>
        <w:rPr>
          <w:rFonts w:eastAsia="Calibri" w:cs="Franklin Gothic Book" w:eastAsiaTheme="minorHAnsi" w:ascii="PT Sans" w:hAnsi="PT Sans"/>
          <w:sz w:val="22"/>
          <w:szCs w:val="22"/>
          <w:lang w:val="ru" w:eastAsia="en-US"/>
        </w:rPr>
      </w:r>
    </w:p>
    <w:p>
      <w:pPr>
        <w:pStyle w:val="Style21"/>
        <w:spacing w:before="120" w:after="0"/>
        <w:rPr>
          <w:rFonts w:ascii="PT Sans" w:hAnsi="PT Sans" w:eastAsia="Calibri" w:cs="Franklin Gothic Book" w:eastAsiaTheme="minorHAnsi"/>
          <w:sz w:val="22"/>
          <w:szCs w:val="22"/>
          <w:lang w:val="ru" w:eastAsia="en-US"/>
        </w:rPr>
      </w:pPr>
      <w:r>
        <w:rPr>
          <w:rFonts w:eastAsia="Calibri" w:cs="Franklin Gothic Book" w:eastAsiaTheme="minorHAnsi" w:ascii="PT Sans" w:hAnsi="PT Sans"/>
          <w:sz w:val="22"/>
          <w:szCs w:val="22"/>
          <w:lang w:val="ru" w:eastAsia="en-US"/>
        </w:rPr>
      </w:r>
    </w:p>
    <w:p>
      <w:pPr>
        <w:pStyle w:val="Style21"/>
        <w:spacing w:before="120" w:after="0"/>
        <w:rPr>
          <w:rFonts w:ascii="PT Sans" w:hAnsi="PT Sans" w:eastAsia="Calibri" w:cs="Franklin Gothic Book" w:eastAsiaTheme="minorHAnsi"/>
          <w:sz w:val="22"/>
          <w:szCs w:val="22"/>
          <w:lang w:val="ru" w:eastAsia="en-US"/>
        </w:rPr>
      </w:pPr>
      <w:r>
        <w:rPr>
          <w:rFonts w:eastAsia="Calibri" w:cs="Franklin Gothic Book" w:eastAsiaTheme="minorHAnsi" w:ascii="PT Sans" w:hAnsi="PT Sans"/>
          <w:sz w:val="22"/>
          <w:szCs w:val="22"/>
          <w:lang w:val="ru" w:eastAsia="en-US"/>
        </w:rPr>
      </w:r>
    </w:p>
    <w:p>
      <w:pPr>
        <w:pStyle w:val="Style21"/>
        <w:spacing w:before="120" w:after="0"/>
        <w:rPr>
          <w:rFonts w:ascii="PT Sans" w:hAnsi="PT Sans" w:eastAsia="Calibri" w:cs="Franklin Gothic Book" w:eastAsiaTheme="minorHAnsi"/>
          <w:sz w:val="22"/>
          <w:szCs w:val="22"/>
          <w:lang w:val="ru" w:eastAsia="en-US"/>
        </w:rPr>
      </w:pPr>
      <w:r>
        <w:rPr>
          <w:rFonts w:eastAsia="Calibri" w:cs="Franklin Gothic Book" w:eastAsiaTheme="minorHAnsi" w:ascii="PT Sans" w:hAnsi="PT Sans"/>
          <w:sz w:val="22"/>
          <w:szCs w:val="22"/>
          <w:lang w:val="ru" w:eastAsia="en-US"/>
        </w:rPr>
      </w:r>
    </w:p>
    <w:p>
      <w:pPr>
        <w:pStyle w:val="Style21"/>
        <w:spacing w:before="120" w:after="0"/>
        <w:rPr/>
      </w:pPr>
      <w:r>
        <w:rPr/>
        <w:drawing>
          <wp:anchor behindDoc="1" distT="0" distB="0" distL="114300" distR="114300" simplePos="0" locked="0" layoutInCell="1" allowOverlap="1" relativeHeight="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75095" cy="6391910"/>
            <wp:effectExtent l="0" t="0" r="0" b="0"/>
            <wp:wrapNone/>
            <wp:docPr id="10" name="WordPictureWatermark26789094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ordPictureWatermark26789094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6391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7"/>
      <w:footerReference w:type="default" r:id="rId8"/>
      <w:type w:val="nextPage"/>
      <w:pgSz w:w="11906" w:h="16838"/>
      <w:pgMar w:left="1134" w:right="567" w:header="709" w:top="766" w:footer="709" w:bottom="766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PT Sans">
    <w:charset w:val="cc"/>
    <w:family w:val="roman"/>
    <w:pitch w:val="variable"/>
  </w:font>
  <w:font w:name="Franklin Gothic Book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>
        <w:rFonts w:ascii="PT Sans" w:hAnsi="PT Sans"/>
      </w:rPr>
    </w:pPr>
    <w:r>
      <w:rPr>
        <w:rFonts w:ascii="PT Sans" w:hAnsi="PT Sans"/>
      </w:rPr>
      <w:t>Чернова Н.Ю.</w:t>
    </w:r>
  </w:p>
  <w:p>
    <w:pPr>
      <w:pStyle w:val="Style26"/>
      <w:rPr>
        <w:rFonts w:ascii="PT Sans" w:hAnsi="PT Sans"/>
      </w:rPr>
    </w:pPr>
    <w:r>
      <w:rPr>
        <w:rFonts w:ascii="PT Sans" w:hAnsi="PT Sans"/>
      </w:rPr>
      <w:t>(846)250-02-73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>
        <w:rFonts w:ascii="PT Sans" w:hAnsi="PT Sans"/>
      </w:rPr>
    </w:pPr>
    <w:r>
      <w:drawing>
        <wp:anchor behindDoc="1" distT="0" distB="0" distL="114300" distR="114300" simplePos="0" locked="0" layoutInCell="1" allowOverlap="1" relativeHeight="12">
          <wp:simplePos x="0" y="0"/>
          <wp:positionH relativeFrom="margin">
            <wp:posOffset>1656080</wp:posOffset>
          </wp:positionH>
          <wp:positionV relativeFrom="margin">
            <wp:posOffset>3456305</wp:posOffset>
          </wp:positionV>
          <wp:extent cx="5869305" cy="5796280"/>
          <wp:effectExtent l="0" t="0" r="0" b="0"/>
          <wp:wrapNone/>
          <wp:docPr id="11" name="WordPictureWatermark26789095" descr="фо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ordPictureWatermark26789095" descr="фон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9305" cy="5796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PT Sans" w:hAnsi="PT Sans"/>
      </w:rPr>
      <w:t xml:space="preserve"> </w:t>
    </w:r>
  </w:p>
</w:hdr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72631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BodyText"/>
    <w:qFormat/>
    <w:rsid w:val="00272631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link w:val="Header"/>
    <w:uiPriority w:val="99"/>
    <w:qFormat/>
    <w:rsid w:val="00ea529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link w:val="Footer"/>
    <w:uiPriority w:val="99"/>
    <w:qFormat/>
    <w:rsid w:val="00ea529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ed2f5e"/>
    <w:rPr>
      <w:rFonts w:ascii="Tahoma" w:hAnsi="Tahoma" w:eastAsia="Times New Roman" w:cs="Tahoma"/>
      <w:sz w:val="16"/>
      <w:szCs w:val="16"/>
      <w:lang w:eastAsia="ru-RU"/>
    </w:rPr>
  </w:style>
  <w:style w:type="character" w:styleId="Style18" w:customStyle="1">
    <w:name w:val="Основной текст с отступом Знак"/>
    <w:basedOn w:val="DefaultParagraphFont"/>
    <w:link w:val="BodyTextIndent"/>
    <w:uiPriority w:val="99"/>
    <w:qFormat/>
    <w:rsid w:val="00aa5bb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9">
    <w:name w:val="Интернет-ссылка"/>
    <w:basedOn w:val="DefaultParagraphFont"/>
    <w:uiPriority w:val="99"/>
    <w:unhideWhenUsed/>
    <w:rsid w:val="00954b23"/>
    <w:rPr>
      <w:color w:val="0563C1" w:themeColor="hyperlink"/>
      <w:u w:val="single"/>
    </w:rPr>
  </w:style>
  <w:style w:type="character" w:styleId="ConsPlusNormal" w:customStyle="1">
    <w:name w:val="ConsPlusNormal Знак"/>
    <w:link w:val="ConsPlusNormal"/>
    <w:qFormat/>
    <w:rsid w:val="00e65217"/>
    <w:rPr>
      <w:rFonts w:ascii="Arial" w:hAnsi="Arial" w:eastAsia="Times New Roman" w:cs="Arial"/>
      <w:sz w:val="20"/>
      <w:szCs w:val="20"/>
      <w:lang w:eastAsia="ru-RU"/>
    </w:rPr>
  </w:style>
  <w:style w:type="paragraph" w:styleId="Style20">
    <w:name w:val="Заголовок"/>
    <w:basedOn w:val="Normal"/>
    <w:next w:val="Style21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link w:val="a"/>
    <w:rsid w:val="00272631"/>
    <w:pPr>
      <w:ind w:right="-1050" w:hanging="0"/>
      <w:jc w:val="both"/>
    </w:pPr>
    <w:rPr>
      <w:sz w:val="28"/>
    </w:rPr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Обычный1"/>
    <w:qFormat/>
    <w:rsid w:val="00272631"/>
    <w:pPr>
      <w:widowControl w:val="false"/>
      <w:bidi w:val="0"/>
      <w:spacing w:lineRule="auto" w:line="300" w:before="0" w:after="0"/>
      <w:ind w:firstLine="540"/>
      <w:jc w:val="both"/>
    </w:pPr>
    <w:rPr>
      <w:rFonts w:ascii="Times New Roman" w:hAnsi="Times New Roman" w:eastAsia="Times New Roman" w:cs="Times New Roman"/>
      <w:color w:val="auto"/>
      <w:sz w:val="24"/>
      <w:szCs w:val="20"/>
      <w:lang w:eastAsia="ru-RU" w:val="ru-RU" w:bidi="ar-SA"/>
    </w:rPr>
  </w:style>
  <w:style w:type="paragraph" w:styleId="Style25">
    <w:name w:val="Header"/>
    <w:basedOn w:val="Normal"/>
    <w:link w:val="a0"/>
    <w:uiPriority w:val="99"/>
    <w:unhideWhenUsed/>
    <w:rsid w:val="00ea5298"/>
    <w:pPr>
      <w:tabs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a1"/>
    <w:uiPriority w:val="99"/>
    <w:unhideWhenUsed/>
    <w:rsid w:val="00ea5298"/>
    <w:pPr>
      <w:tabs>
        <w:tab w:val="center" w:pos="4677" w:leader="none"/>
        <w:tab w:val="right" w:pos="9355" w:leader="none"/>
      </w:tabs>
    </w:pPr>
    <w:rPr/>
  </w:style>
  <w:style w:type="paragraph" w:styleId="Normal1" w:customStyle="1">
    <w:name w:val="Normal1"/>
    <w:qFormat/>
    <w:rsid w:val="005c1dbe"/>
    <w:pPr>
      <w:widowControl w:val="false"/>
      <w:bidi w:val="0"/>
      <w:spacing w:lineRule="auto" w:line="300" w:before="0" w:after="0"/>
      <w:ind w:left="40" w:firstLine="560"/>
      <w:jc w:val="both"/>
    </w:pPr>
    <w:rPr>
      <w:rFonts w:ascii="Times New Roman" w:hAnsi="Times New Roman" w:eastAsia="Times New Roman" w:cs="Times New Roman"/>
      <w:color w:val="auto"/>
      <w:sz w:val="24"/>
      <w:szCs w:val="20"/>
      <w:lang w:eastAsia="ru-RU" w:val="ru-RU" w:bidi="ar-SA"/>
    </w:rPr>
  </w:style>
  <w:style w:type="paragraph" w:styleId="BalloonText">
    <w:name w:val="Balloon Text"/>
    <w:basedOn w:val="Normal"/>
    <w:link w:val="a2"/>
    <w:uiPriority w:val="99"/>
    <w:semiHidden/>
    <w:unhideWhenUsed/>
    <w:qFormat/>
    <w:rsid w:val="00ed2f5e"/>
    <w:pPr/>
    <w:rPr>
      <w:rFonts w:ascii="Tahoma" w:hAnsi="Tahoma" w:cs="Tahoma"/>
      <w:sz w:val="16"/>
      <w:szCs w:val="16"/>
    </w:rPr>
  </w:style>
  <w:style w:type="paragraph" w:styleId="Style27">
    <w:name w:val="Body Text Indent"/>
    <w:basedOn w:val="Normal"/>
    <w:link w:val="a3"/>
    <w:uiPriority w:val="99"/>
    <w:unhideWhenUsed/>
    <w:rsid w:val="00aa5bb8"/>
    <w:pPr>
      <w:spacing w:before="0" w:after="120"/>
      <w:ind w:left="283" w:hanging="0"/>
    </w:pPr>
    <w:rPr/>
  </w:style>
  <w:style w:type="paragraph" w:styleId="ConsPlusNormal1" w:customStyle="1">
    <w:name w:val="ConsPlusNormal"/>
    <w:link w:val="ConsPlusNormal0"/>
    <w:qFormat/>
    <w:rsid w:val="00e65217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sz w:val="20"/>
      <w:szCs w:val="20"/>
      <w:lang w:eastAsia="ru-RU" w:val="ru-RU" w:bidi="ar-SA"/>
    </w:rPr>
  </w:style>
  <w:style w:type="paragraph" w:styleId="Style2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0a28e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PRIVOLGA@sam.transneft.ru" TargetMode="External"/><Relationship Id="rId4" Type="http://schemas.openxmlformats.org/officeDocument/2006/relationships/hyperlink" Target="mailto:PRIVOLGA@sam.transneft.ru" TargetMode="External"/><Relationship Id="rId5" Type="http://schemas.openxmlformats.org/officeDocument/2006/relationships/image" Target="media/image2.png"/><Relationship Id="rId6" Type="http://schemas.openxmlformats.org/officeDocument/2006/relationships/image" Target="media/image3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A5CA7-F870-4767-8AB7-0ADF8F8B2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Application>LibreOffice/5.2.3.3$Windows_X86_64 LibreOffice_project/d54a8868f08a7b39642414cf2c8ef2f228f780cf</Application>
  <Pages>9</Pages>
  <Words>882</Words>
  <Characters>6609</Characters>
  <CharactersWithSpaces>7427</CharactersWithSpaces>
  <Paragraphs>149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2015-10-29T07:27:00Z</dcterms:created>
  <dc:creator>Часовников А.Ю.</dc:creator>
  <dc:description/>
  <dc:language>ru-RU</dc:language>
  <cp:lastModifiedBy>Чернова Надежда Юрьевна</cp:lastModifiedBy>
  <dcterms:modified xsi:type="dcterms:W3CDTF">2026-08-31T07:51:00Z</dcterms:modified>
  <cp:revision>178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lSigners">
    <vt:lpwstr>Подпись</vt:lpwstr>
  </property>
  <property fmtid="{D5CDD505-2E9C-101B-9397-08002B2CF9AE}" pid="3" name="AppVersion">
    <vt:lpwstr>16.0000</vt:lpwstr>
  </property>
  <property fmtid="{D5CDD505-2E9C-101B-9397-08002B2CF9AE}" pid="4" name="Content">
    <vt:lpwstr>Краткое содержание</vt:lpwstr>
  </property>
  <property fmtid="{D5CDD505-2E9C-101B-9397-08002B2CF9AE}" pid="5" name="DocSecurity">
    <vt:i4>0</vt:i4>
  </property>
  <property fmtid="{D5CDD505-2E9C-101B-9397-08002B2CF9AE}" pid="6" name="ForInDate">
    <vt:lpwstr>                  </vt:lpwstr>
  </property>
  <property fmtid="{D5CDD505-2E9C-101B-9397-08002B2CF9AE}" pid="7" name="ForInNum">
    <vt:lpwstr>                  </vt:lpwstr>
  </property>
  <property fmtid="{D5CDD505-2E9C-101B-9397-08002B2CF9AE}" pid="8" name="HyperlinksChanged">
    <vt:bool>0</vt:bool>
  </property>
  <property fmtid="{D5CDD505-2E9C-101B-9397-08002B2CF9AE}" pid="9" name="LinksUpToDate">
    <vt:bool>0</vt:bool>
  </property>
  <property fmtid="{D5CDD505-2E9C-101B-9397-08002B2CF9AE}" pid="10" name="Performer">
    <vt:lpwstr>Исполнитель</vt:lpwstr>
  </property>
  <property fmtid="{D5CDD505-2E9C-101B-9397-08002B2CF9AE}" pid="11" name="RegNum">
    <vt:lpwstr>ТПВ-01-43-14/26796</vt:lpwstr>
  </property>
  <property fmtid="{D5CDD505-2E9C-101B-9397-08002B2CF9AE}" pid="12" name="RegisterDate">
    <vt:lpwstr>02.09.2026</vt:lpwstr>
  </property>
  <property fmtid="{D5CDD505-2E9C-101B-9397-08002B2CF9AE}" pid="13" name="ScaleCrop">
    <vt:bool>0</vt:bool>
  </property>
  <property fmtid="{D5CDD505-2E9C-101B-9397-08002B2CF9AE}" pid="14" name="ShareDoc">
    <vt:bool>0</vt:bool>
  </property>
</Properties>
</file>