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</w:t>
      </w:r>
      <w:r>
        <w:rPr>
          <w:b/>
          <w:sz w:val="28"/>
          <w:szCs w:val="28"/>
          <w:lang w:eastAsia="ru-RU"/>
        </w:rPr>
        <w:t>Администрация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сельского поселения  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Кинельский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Самарской области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ПОСТАНОВЛЕНИЕ</w:t>
      </w:r>
    </w:p>
    <w:p w:rsidR="00B1139C" w:rsidRDefault="00B1139C" w:rsidP="00B1139C">
      <w:pPr>
        <w:suppressAutoHyphens w:val="0"/>
        <w:rPr>
          <w:b/>
          <w:sz w:val="28"/>
          <w:szCs w:val="28"/>
          <w:lang w:eastAsia="ru-RU"/>
        </w:rPr>
      </w:pPr>
    </w:p>
    <w:p w:rsidR="00B1139C" w:rsidRDefault="00B1139C" w:rsidP="00B1139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от </w:t>
      </w:r>
      <w:r>
        <w:rPr>
          <w:sz w:val="28"/>
          <w:szCs w:val="28"/>
          <w:u w:val="single"/>
          <w:lang w:eastAsia="ru-RU"/>
        </w:rPr>
        <w:t>01.07.2026 г.</w:t>
      </w:r>
      <w:r>
        <w:rPr>
          <w:sz w:val="28"/>
          <w:szCs w:val="28"/>
          <w:lang w:eastAsia="ru-RU"/>
        </w:rPr>
        <w:t xml:space="preserve">  № </w:t>
      </w:r>
      <w:r>
        <w:rPr>
          <w:sz w:val="28"/>
          <w:szCs w:val="28"/>
          <w:u w:val="single"/>
          <w:lang w:eastAsia="ru-RU"/>
        </w:rPr>
        <w:t>10</w:t>
      </w:r>
      <w:r>
        <w:rPr>
          <w:sz w:val="28"/>
          <w:szCs w:val="28"/>
          <w:u w:val="single"/>
          <w:lang w:eastAsia="ru-RU"/>
        </w:rPr>
        <w:t>4</w:t>
      </w:r>
    </w:p>
    <w:p w:rsidR="00B1139C" w:rsidRDefault="00B1139C" w:rsidP="00B1139C">
      <w:pPr>
        <w:jc w:val="center"/>
        <w:rPr>
          <w:sz w:val="28"/>
          <w:szCs w:val="28"/>
        </w:rPr>
      </w:pPr>
    </w:p>
    <w:p w:rsidR="00B1139C" w:rsidRDefault="00B1139C" w:rsidP="00B1139C">
      <w:pPr>
        <w:tabs>
          <w:tab w:val="left" w:pos="1134"/>
        </w:tabs>
        <w:ind w:right="365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B1139C">
        <w:rPr>
          <w:b/>
          <w:color w:val="000000"/>
          <w:sz w:val="28"/>
          <w:szCs w:val="28"/>
          <w:lang w:eastAsia="ru-RU"/>
        </w:rPr>
        <w:t>Об утверждении Положения об увековечении памяти погибших (умерших) уроженцев сельского поселения Бобровка муниципального района Кинельский Самарской области и постоянно проживавших на территории сельского поселения Бобровка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r>
        <w:rPr>
          <w:b/>
          <w:sz w:val="28"/>
          <w:szCs w:val="28"/>
        </w:rPr>
        <w:t>»</w:t>
      </w:r>
    </w:p>
    <w:p w:rsidR="00B1139C" w:rsidRDefault="00B1139C" w:rsidP="00B1139C">
      <w:pPr>
        <w:autoSpaceDE w:val="0"/>
        <w:autoSpaceDN w:val="0"/>
        <w:adjustRightInd w:val="0"/>
        <w:ind w:right="3656"/>
        <w:outlineLvl w:val="0"/>
        <w:rPr>
          <w:sz w:val="28"/>
          <w:szCs w:val="28"/>
        </w:rPr>
      </w:pPr>
    </w:p>
    <w:p w:rsidR="00B1139C" w:rsidRPr="00B1139C" w:rsidRDefault="00B1139C" w:rsidP="00B1139C">
      <w:pPr>
        <w:suppressAutoHyphens w:val="0"/>
        <w:rPr>
          <w:b/>
          <w:sz w:val="16"/>
          <w:szCs w:val="16"/>
          <w:lang w:eastAsia="ru-RU"/>
        </w:rPr>
      </w:pPr>
    </w:p>
    <w:p w:rsidR="00B1139C" w:rsidRDefault="00B1139C" w:rsidP="00B1139C">
      <w:pPr>
        <w:spacing w:line="276" w:lineRule="auto"/>
        <w:ind w:firstLine="567"/>
        <w:jc w:val="both"/>
        <w:rPr>
          <w:sz w:val="28"/>
          <w:szCs w:val="28"/>
        </w:rPr>
      </w:pPr>
      <w:r w:rsidRPr="00B1139C">
        <w:rPr>
          <w:color w:val="000000"/>
          <w:sz w:val="28"/>
          <w:szCs w:val="28"/>
          <w:lang w:eastAsia="ru-RU"/>
        </w:rPr>
        <w:t>В соответствии с Законом Российской Федерации от 14.01.1993 № 4292-1 «Об увековечении памяти погибших при защите Отечества»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</w:t>
      </w:r>
      <w:r>
        <w:rPr>
          <w:sz w:val="28"/>
          <w:szCs w:val="28"/>
        </w:rPr>
        <w:t>сельского поселения Кинельский муниципального района Кинельский Самарской области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сельского поселения Кинельский муниципального района Кинельский Самарской области</w:t>
      </w:r>
    </w:p>
    <w:p w:rsidR="00B1139C" w:rsidRPr="00B1139C" w:rsidRDefault="00B1139C" w:rsidP="00B1139C">
      <w:pPr>
        <w:spacing w:line="276" w:lineRule="auto"/>
        <w:ind w:firstLine="567"/>
        <w:jc w:val="both"/>
        <w:rPr>
          <w:sz w:val="16"/>
          <w:szCs w:val="16"/>
        </w:rPr>
      </w:pPr>
    </w:p>
    <w:p w:rsidR="00B1139C" w:rsidRDefault="00B1139C" w:rsidP="00B1139C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1139C" w:rsidRPr="00B1139C" w:rsidRDefault="00B1139C" w:rsidP="00B1139C">
      <w:pPr>
        <w:spacing w:line="276" w:lineRule="auto"/>
        <w:ind w:firstLine="567"/>
        <w:jc w:val="center"/>
        <w:rPr>
          <w:sz w:val="16"/>
          <w:szCs w:val="16"/>
        </w:rPr>
      </w:pPr>
    </w:p>
    <w:p w:rsidR="00B1139C" w:rsidRPr="00915B7E" w:rsidRDefault="00B1139C" w:rsidP="00B113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1139C">
        <w:rPr>
          <w:color w:val="000000"/>
          <w:sz w:val="28"/>
          <w:szCs w:val="28"/>
          <w:lang w:eastAsia="ru-RU"/>
        </w:rPr>
        <w:t xml:space="preserve">Утвердить прилагаемое Положение об увековечении памяти погибших (умерших) уроженцев сельского поселения </w:t>
      </w:r>
      <w:r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и постоянно проживавших на территории сельского поселения </w:t>
      </w:r>
      <w:r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r w:rsidRPr="00915B7E">
        <w:rPr>
          <w:sz w:val="28"/>
          <w:szCs w:val="28"/>
          <w:lang w:eastAsia="ru-RU"/>
        </w:rPr>
        <w:t>.</w:t>
      </w:r>
    </w:p>
    <w:p w:rsidR="00B1139C" w:rsidRDefault="00B1139C" w:rsidP="00B1139C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OLE_LINK2"/>
      <w:bookmarkStart w:id="1" w:name="OLE_LINK1"/>
      <w:r>
        <w:rPr>
          <w:sz w:val="28"/>
          <w:szCs w:val="28"/>
        </w:rPr>
        <w:t xml:space="preserve">2. </w:t>
      </w:r>
      <w:bookmarkEnd w:id="0"/>
      <w:bookmarkEnd w:id="1"/>
      <w:r w:rsidRPr="00B31B79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sz w:val="28"/>
          <w:szCs w:val="28"/>
          <w:lang w:eastAsia="ru-RU"/>
        </w:rPr>
        <w:t>.</w:t>
      </w:r>
    </w:p>
    <w:p w:rsidR="00B1139C" w:rsidRDefault="00B1139C" w:rsidP="00B1139C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постановление в газете «Вестник» сельского поселения Кинельский и разместить на официальном сайте администрации сельского поселения Кинельский в сети Интернет</w:t>
      </w:r>
      <w:r>
        <w:rPr>
          <w:sz w:val="28"/>
          <w:szCs w:val="28"/>
          <w:lang w:eastAsia="ru-RU"/>
        </w:rPr>
        <w:t>.</w:t>
      </w:r>
    </w:p>
    <w:p w:rsidR="00B1139C" w:rsidRDefault="00B1139C" w:rsidP="00B1139C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4. Контроль за исполнением настоящего постановления оставляю за собой</w:t>
      </w:r>
      <w:r>
        <w:rPr>
          <w:sz w:val="28"/>
          <w:szCs w:val="28"/>
          <w:lang w:eastAsia="ru-RU"/>
        </w:rPr>
        <w:t>.</w:t>
      </w:r>
    </w:p>
    <w:p w:rsidR="00B1139C" w:rsidRDefault="00B1139C" w:rsidP="00B1139C"/>
    <w:p w:rsidR="00B1139C" w:rsidRDefault="00B1139C" w:rsidP="00B1139C"/>
    <w:p w:rsidR="00B1139C" w:rsidRDefault="00B1139C" w:rsidP="00B1139C"/>
    <w:p w:rsidR="00B1139C" w:rsidRDefault="00B1139C" w:rsidP="00B1139C"/>
    <w:p w:rsidR="00B1139C" w:rsidRDefault="00B1139C" w:rsidP="00B1139C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Кинельский</w:t>
      </w:r>
    </w:p>
    <w:p w:rsidR="00B1139C" w:rsidRDefault="00B1139C" w:rsidP="00B1139C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 w:rsidR="00B1139C" w:rsidRDefault="00B1139C" w:rsidP="00B1139C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 О.Н. Кравченко</w:t>
      </w:r>
    </w:p>
    <w:p w:rsidR="00B1139C" w:rsidRDefault="00B1139C" w:rsidP="00B1139C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1139C" w:rsidRDefault="00B1139C" w:rsidP="00B1139C"/>
    <w:p w:rsidR="00B61378" w:rsidRDefault="00B61378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Default="00B1139C"/>
    <w:p w:rsidR="00B1139C" w:rsidRPr="00B1139C" w:rsidRDefault="00B1139C" w:rsidP="00B1139C">
      <w:pPr>
        <w:pageBreakBefore/>
        <w:widowControl w:val="0"/>
        <w:suppressAutoHyphens w:val="0"/>
        <w:spacing w:after="200"/>
        <w:ind w:left="5387" w:firstLine="698"/>
        <w:jc w:val="right"/>
        <w:rPr>
          <w:rFonts w:eastAsia="Times New Roman CYR"/>
          <w:color w:val="000000"/>
          <w:sz w:val="28"/>
          <w:szCs w:val="28"/>
          <w:lang w:eastAsia="ru-RU"/>
        </w:rPr>
      </w:pPr>
      <w:r w:rsidRPr="00B1139C">
        <w:rPr>
          <w:rFonts w:eastAsia="Times New Roman CYR"/>
          <w:color w:val="000000"/>
          <w:sz w:val="28"/>
          <w:szCs w:val="28"/>
          <w:lang w:eastAsia="ru-RU"/>
        </w:rPr>
        <w:lastRenderedPageBreak/>
        <w:t>УТВЕРЖДЕНО:</w:t>
      </w:r>
    </w:p>
    <w:p w:rsidR="00B1139C" w:rsidRPr="00B1139C" w:rsidRDefault="00B1139C" w:rsidP="00B1139C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B1139C">
        <w:rPr>
          <w:sz w:val="28"/>
          <w:szCs w:val="28"/>
          <w:lang w:eastAsia="ru-RU"/>
        </w:rPr>
        <w:t xml:space="preserve">постановлением администрации                                                              </w:t>
      </w:r>
    </w:p>
    <w:p w:rsidR="00B1139C" w:rsidRPr="00B1139C" w:rsidRDefault="00B1139C" w:rsidP="00B1139C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  <w:lang w:eastAsia="ru-RU"/>
        </w:rPr>
      </w:pPr>
      <w:r w:rsidRPr="00B1139C">
        <w:rPr>
          <w:sz w:val="28"/>
          <w:szCs w:val="28"/>
          <w:lang w:eastAsia="ru-RU"/>
        </w:rPr>
        <w:t xml:space="preserve">  сельского поселения </w:t>
      </w:r>
      <w:r w:rsidRPr="004C10D0">
        <w:rPr>
          <w:sz w:val="28"/>
          <w:szCs w:val="28"/>
          <w:lang w:eastAsia="ru-RU"/>
        </w:rPr>
        <w:t>Кинельский</w:t>
      </w:r>
      <w:r w:rsidRPr="00B1139C">
        <w:rPr>
          <w:sz w:val="28"/>
          <w:szCs w:val="28"/>
          <w:lang w:eastAsia="ru-RU"/>
        </w:rPr>
        <w:t xml:space="preserve"> </w:t>
      </w:r>
    </w:p>
    <w:p w:rsidR="00B1139C" w:rsidRPr="00B1139C" w:rsidRDefault="00B1139C" w:rsidP="00B1139C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  <w:lang w:eastAsia="ru-RU"/>
        </w:rPr>
      </w:pPr>
      <w:r w:rsidRPr="00B1139C">
        <w:rPr>
          <w:sz w:val="28"/>
          <w:szCs w:val="28"/>
          <w:lang w:eastAsia="ru-RU"/>
        </w:rPr>
        <w:t xml:space="preserve">муниципального района Кинельский </w:t>
      </w:r>
    </w:p>
    <w:p w:rsidR="00B1139C" w:rsidRPr="00B1139C" w:rsidRDefault="00B1139C" w:rsidP="00B1139C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  <w:lang w:eastAsia="ru-RU"/>
        </w:rPr>
      </w:pPr>
      <w:r w:rsidRPr="00B1139C">
        <w:rPr>
          <w:sz w:val="28"/>
          <w:szCs w:val="28"/>
          <w:lang w:eastAsia="ru-RU"/>
        </w:rPr>
        <w:t xml:space="preserve">Самарской области                             </w:t>
      </w:r>
    </w:p>
    <w:p w:rsidR="00B1139C" w:rsidRPr="00B1139C" w:rsidRDefault="00B1139C" w:rsidP="00B1139C">
      <w:pPr>
        <w:suppressAutoHyphens w:val="0"/>
        <w:ind w:left="720"/>
        <w:contextualSpacing/>
        <w:jc w:val="right"/>
        <w:rPr>
          <w:sz w:val="28"/>
          <w:szCs w:val="28"/>
          <w:u w:val="single"/>
          <w:lang w:eastAsia="en-US"/>
        </w:rPr>
      </w:pPr>
      <w:proofErr w:type="gramStart"/>
      <w:r w:rsidRPr="00B1139C">
        <w:rPr>
          <w:color w:val="000000"/>
          <w:sz w:val="28"/>
          <w:szCs w:val="28"/>
          <w:lang w:eastAsia="ar-SA"/>
        </w:rPr>
        <w:t>от  «</w:t>
      </w:r>
      <w:proofErr w:type="gramEnd"/>
      <w:r w:rsidRPr="004C10D0">
        <w:rPr>
          <w:color w:val="000000"/>
          <w:sz w:val="28"/>
          <w:szCs w:val="28"/>
          <w:u w:val="single"/>
          <w:lang w:eastAsia="ar-SA"/>
        </w:rPr>
        <w:t>01</w:t>
      </w:r>
      <w:r w:rsidRPr="00B1139C">
        <w:rPr>
          <w:color w:val="000000"/>
          <w:sz w:val="28"/>
          <w:szCs w:val="28"/>
          <w:lang w:eastAsia="ar-SA"/>
        </w:rPr>
        <w:t xml:space="preserve">» </w:t>
      </w:r>
      <w:r w:rsidRPr="004C10D0">
        <w:rPr>
          <w:color w:val="000000"/>
          <w:sz w:val="28"/>
          <w:szCs w:val="28"/>
          <w:u w:val="single"/>
          <w:lang w:eastAsia="ar-SA"/>
        </w:rPr>
        <w:t>июл</w:t>
      </w:r>
      <w:r w:rsidRPr="00B1139C">
        <w:rPr>
          <w:color w:val="000000"/>
          <w:sz w:val="28"/>
          <w:szCs w:val="28"/>
          <w:u w:val="single"/>
          <w:lang w:eastAsia="ar-SA"/>
        </w:rPr>
        <w:t>я</w:t>
      </w:r>
      <w:r w:rsidRPr="00B1139C">
        <w:rPr>
          <w:color w:val="000000"/>
          <w:sz w:val="28"/>
          <w:szCs w:val="28"/>
          <w:lang w:eastAsia="ar-SA"/>
        </w:rPr>
        <w:t xml:space="preserve"> 2026 года  № </w:t>
      </w:r>
      <w:r w:rsidRPr="00B1139C">
        <w:rPr>
          <w:color w:val="000000"/>
          <w:sz w:val="28"/>
          <w:szCs w:val="28"/>
          <w:u w:val="single"/>
          <w:lang w:eastAsia="ar-SA"/>
        </w:rPr>
        <w:t>1</w:t>
      </w:r>
      <w:r w:rsidRPr="004C10D0">
        <w:rPr>
          <w:color w:val="000000"/>
          <w:sz w:val="28"/>
          <w:szCs w:val="28"/>
          <w:u w:val="single"/>
          <w:lang w:eastAsia="ar-SA"/>
        </w:rPr>
        <w:t>04</w:t>
      </w:r>
    </w:p>
    <w:p w:rsidR="00B1139C" w:rsidRDefault="00B1139C" w:rsidP="00B1139C">
      <w:pPr>
        <w:widowControl w:val="0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4C10D0" w:rsidRPr="00B1139C" w:rsidRDefault="004C10D0" w:rsidP="00B1139C">
      <w:pPr>
        <w:widowControl w:val="0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 xml:space="preserve">ПОЛОЖЕНИЕ ОБ УВЕКОВЕЧЕНИИ ПАМЯТИ ПОГИБШИХ (УМЕРШИХ) УРОЖЕНЦЕВ СЕЛЬСКОГО ПОСЕЛЕНИЯ </w:t>
      </w:r>
      <w:r w:rsidRPr="004C10D0">
        <w:rPr>
          <w:b/>
          <w:color w:val="000000"/>
          <w:sz w:val="28"/>
          <w:szCs w:val="28"/>
          <w:lang w:eastAsia="ru-RU"/>
        </w:rPr>
        <w:t>КИНЕЛЬСКИЙ</w:t>
      </w:r>
      <w:r w:rsidRPr="00B1139C">
        <w:rPr>
          <w:b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И ПОСТОЯННО ПРОЖИВАВШИХ НА ТЕРРИТОРИИ СЕЛЬСКОГО ПОСЕЛЕНИЯ </w:t>
      </w:r>
      <w:r w:rsidRPr="004C10D0">
        <w:rPr>
          <w:b/>
          <w:color w:val="000000"/>
          <w:sz w:val="28"/>
          <w:szCs w:val="28"/>
          <w:lang w:eastAsia="ru-RU"/>
        </w:rPr>
        <w:t>КИНЕЛЬСКИЙ</w:t>
      </w:r>
      <w:r w:rsidRPr="00B1139C">
        <w:rPr>
          <w:b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</w:t>
      </w:r>
    </w:p>
    <w:p w:rsidR="00B1139C" w:rsidRPr="00B1139C" w:rsidRDefault="00B1139C" w:rsidP="00B1139C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>Глава 1. ОБЩИЕ ПОЛОЖЕНИЯ</w:t>
      </w:r>
    </w:p>
    <w:p w:rsidR="00B1139C" w:rsidRPr="00B1139C" w:rsidRDefault="00B1139C" w:rsidP="00B1139C">
      <w:pPr>
        <w:widowControl w:val="0"/>
        <w:suppressAutoHyphens w:val="0"/>
        <w:jc w:val="both"/>
        <w:rPr>
          <w:b/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1.1. Настоящее Положение об увековечении памяти погибших (умерших) уроженцев сельского поселения </w:t>
      </w:r>
      <w:r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и постоянно проживавших на территории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(далее – Положение) разработано в соответствии с Законом Российской Федерации от 14 января 1993 года № 4292-1 «Об увековечении памяти погибших при Защите Отечества».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1.2. Постоянное проживание погибшего (умершего) на территории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подтверждается регистрацией по месту жительства на </w:t>
      </w:r>
      <w:r w:rsidR="00C02F3E" w:rsidRPr="004C10D0">
        <w:rPr>
          <w:color w:val="000000"/>
          <w:sz w:val="28"/>
          <w:szCs w:val="28"/>
          <w:lang w:eastAsia="ru-RU"/>
        </w:rPr>
        <w:t xml:space="preserve">территории </w:t>
      </w:r>
      <w:r w:rsidRPr="00B1139C">
        <w:rPr>
          <w:color w:val="000000"/>
          <w:sz w:val="28"/>
          <w:szCs w:val="28"/>
          <w:lang w:eastAsia="ru-RU"/>
        </w:rPr>
        <w:t xml:space="preserve">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области, решением суда об установлении факта постоянного проживания, погибшего (умершего) на территории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Самарской области, выпиской из домовой книги.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 xml:space="preserve">Глава 2. ФОРМЫ УВЕКОВЕЧЕНИЯ ПАМЯТИ ПОГИБШИХ (УМЕРШИХ) УРОЖЕНЦЕВ СЕЛЬСКОГО ПОСЕЛЕНИЯ </w:t>
      </w:r>
      <w:r w:rsidR="00C02F3E" w:rsidRPr="004C10D0">
        <w:rPr>
          <w:b/>
          <w:color w:val="000000"/>
          <w:sz w:val="28"/>
          <w:szCs w:val="28"/>
          <w:lang w:eastAsia="ru-RU"/>
        </w:rPr>
        <w:t>КИНЕЛЬСКИЙ</w:t>
      </w:r>
      <w:r w:rsidRPr="00B1139C">
        <w:rPr>
          <w:b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</w:t>
      </w:r>
      <w:r w:rsidRPr="00B1139C">
        <w:rPr>
          <w:b/>
          <w:color w:val="000000"/>
          <w:sz w:val="28"/>
          <w:szCs w:val="28"/>
          <w:lang w:eastAsia="ru-RU"/>
        </w:rPr>
        <w:lastRenderedPageBreak/>
        <w:t>ОПЕРАЦИИ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 2.1. Основными формами увековечения памяти погибших (умерших) уроженцев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 являются: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1) создание и ведение Книг Памяти о погибших (умерших) уроженцах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2) присвоение имен погибших (умерших) уроженцев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B1139C">
        <w:rPr>
          <w:color w:val="000000"/>
          <w:sz w:val="28"/>
          <w:szCs w:val="28"/>
          <w:lang w:eastAsia="ru-RU"/>
        </w:rPr>
        <w:t>билбордах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3) создание уголков воинской доблести, музеев славы, выставок героических подвигах погибших (умерших) уроженцев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4) установка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погибшим (умершим) уроженцам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операции;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5) публикации в средствах массовой информации и в информационно-телекоммуникационной сети Интернет материалов о погибших (умерших) уроженцах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операции, посвященных их подвигам;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6) проведение военно-патриотических уроков, спортивных мероприятий, посвященных памяти погибших (умерших) уроженцев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ходе специальной военной операции;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7) содействие деятельности патриотических клубов, молодежных организаций.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>Глава 3. КРИТЕРИИ ДЛЯ ПРИНЯТИЯ РЕШЕНИЯ ОБ УСТАНОВКЕ МЕМОРИАЛЬНОЙ ДОСКИ, ДРУГО</w:t>
      </w:r>
      <w:r w:rsidR="004C10D0">
        <w:rPr>
          <w:b/>
          <w:color w:val="000000"/>
          <w:sz w:val="28"/>
          <w:szCs w:val="28"/>
          <w:lang w:eastAsia="ru-RU"/>
        </w:rPr>
        <w:t xml:space="preserve">ГО ПАМЯТНОГО ЗНАКА, АРТ-ОБЪЕКТА </w:t>
      </w:r>
      <w:r w:rsidRPr="00B1139C">
        <w:rPr>
          <w:b/>
          <w:color w:val="000000"/>
          <w:sz w:val="28"/>
          <w:szCs w:val="28"/>
          <w:lang w:eastAsia="ru-RU"/>
        </w:rPr>
        <w:t xml:space="preserve">(В ТОМ ЧИСЛЕ МУРАЛА) 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lastRenderedPageBreak/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не распространяются. 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 xml:space="preserve">Глава 4. ПОРЯДОК НАПРАВЛЕНИЯ ХОДАТАЙСТВ ОБ УСТАНОВКЕ МЕМОРИАЛЬНОЙ ДОСКИ, ДРУГОГО ПАМЯТНОГО ЗНАКА, АРТ-ОБЪЕКТА </w:t>
      </w:r>
      <w:bookmarkStart w:id="2" w:name="_GoBack"/>
      <w:bookmarkEnd w:id="2"/>
      <w:r w:rsidRPr="00B1139C">
        <w:rPr>
          <w:b/>
          <w:color w:val="000000"/>
          <w:sz w:val="28"/>
          <w:szCs w:val="28"/>
          <w:lang w:eastAsia="ru-RU"/>
        </w:rPr>
        <w:t>(В ТОМ ЧИСЛЕ МУРАЛА)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 4.1. С инициативой об установке мемориальной доски, другого памятного знака, </w:t>
      </w:r>
      <w:proofErr w:type="spellStart"/>
      <w:r w:rsidRPr="00B1139C">
        <w:rPr>
          <w:color w:val="000000"/>
          <w:sz w:val="28"/>
          <w:szCs w:val="28"/>
          <w:lang w:eastAsia="ru-RU"/>
        </w:rPr>
        <w:t>артобъекта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– инициатор).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4.2. Письменное ходатайство об установке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), содержащее просьбу об увековечении памяти погибшего (умершего) уроженца сельского поселения </w:t>
      </w:r>
      <w:r w:rsidR="00C02F3E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при выполнении воинского долга в ходе специальной военной операции лица (далее – ходатайство), и документы, указанные в пункте 4.3 настоящего Положения направляются в администрацию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на имя Главы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4.3. В перечень документов, представляемых для увековечения, входят: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1) ходатайство гражданина (организации);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2) 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3) выписка из домовой книги с указанием периода проживания увековечиваемого лица по месту увековечения;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4) 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с обоснованием его выбора;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5) предложение по тексту надписи;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6)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производятся за счет инициатора;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7) письменное обязательство ходатайствующего гражданина о финансировании работ, либо уведомление о невозможности осуществления финансирования.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должно быть одобрено Комиссией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</w:t>
      </w:r>
      <w:r w:rsidRPr="00B1139C">
        <w:rPr>
          <w:color w:val="000000"/>
          <w:sz w:val="28"/>
          <w:szCs w:val="28"/>
          <w:lang w:eastAsia="ru-RU"/>
        </w:rPr>
        <w:lastRenderedPageBreak/>
        <w:t xml:space="preserve">области и собственником здания.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Администрация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администрация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направляет свое мотивированное заключение в Комиссию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для предварительного рассмотрения вопросов, связанных с увековечением памяти о выдающихся событиях и личностях (далее – Комиссия).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>Глава 5. ПОРЯДОК РАССМОТРЕНИЯ ХОДАТАЙСТВ И ПРИНЯТИЯ РЕШЕНИЙ ПО НИМ</w:t>
      </w:r>
    </w:p>
    <w:p w:rsidR="00B1139C" w:rsidRPr="00B1139C" w:rsidRDefault="00B1139C" w:rsidP="00B1139C">
      <w:pPr>
        <w:widowControl w:val="0"/>
        <w:suppressAutoHyphens w:val="0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5.1. Поступившее на имя Главы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ходатайство и документы в течение 2 рабочих дней передаются на рассмотрение Комиссии.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5.2. Комиссия рассматривает ходатайство и проверяет прилагаемые к нему документы в течение 20 календарных дней со дня их регистрации.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5.3. Комиссия вправе провести опрос общественного мнения по рассматриваемым ходатайствам.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5.4. По результатам рассмотрения ходатайства и документов, указанных в пункте 4.3 настоящего Положения, Комиссия принимает одно из следующих решений: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2) рекомендовать ходатайствующей стороне увековечить память погибшего в других формах;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3) перенести рассмотрение ходатайств на срок, определяемый Комиссией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области, в связи с необходимостью получения дополнительных сведений и документов или по другим причинам, установленным Комиссией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>5.5. Решения, принятые Комиссией, оформляются протоколом.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5.6. При принятии решения, предусмотренного подпунктом 1 пункта 5.4 настоящего Положения, Комиссия готовит проект постановления администрации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</w:t>
      </w:r>
      <w:r w:rsidRPr="00B1139C">
        <w:rPr>
          <w:color w:val="000000"/>
          <w:sz w:val="28"/>
          <w:szCs w:val="28"/>
          <w:lang w:eastAsia="ru-RU"/>
        </w:rPr>
        <w:lastRenderedPageBreak/>
        <w:t xml:space="preserve">Кинельский Самарской области об установке мемориальной доски, другого памятного знака и направляет его на подписание Главе </w:t>
      </w:r>
      <w:r w:rsidR="0038160D" w:rsidRPr="004C10D0">
        <w:rPr>
          <w:color w:val="000000"/>
          <w:sz w:val="28"/>
          <w:szCs w:val="28"/>
          <w:lang w:eastAsia="ru-RU"/>
        </w:rPr>
        <w:t xml:space="preserve">сельского </w:t>
      </w:r>
      <w:proofErr w:type="gramStart"/>
      <w:r w:rsidR="0038160D" w:rsidRPr="004C10D0">
        <w:rPr>
          <w:color w:val="000000"/>
          <w:sz w:val="28"/>
          <w:szCs w:val="28"/>
          <w:lang w:eastAsia="ru-RU"/>
        </w:rPr>
        <w:t xml:space="preserve">поселения 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proofErr w:type="gramEnd"/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5.8. В постановлении администрации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об установке мемориальной доски, другого памятного знака указываются: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1) адрес места установки мемориальной доски, другого памятного знака;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2) содержание надписи;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3) срок установки мемориальной доски, другого памятного знака;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4) источник финансового обеспечения работ по проектированию, изготовлению и установке мемориальной доски, другого памятного знака;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5) ответственное лицо.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Предельный срок эксплуатации баннера: Вертикального – 2 месяца; Горизонтального – 3 месяца.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Хранение демонтированного баннера осуществляется администрацией сельского поселения </w:t>
      </w:r>
      <w:r w:rsidR="0038160D" w:rsidRPr="004C10D0">
        <w:rPr>
          <w:color w:val="000000"/>
          <w:sz w:val="28"/>
          <w:szCs w:val="28"/>
          <w:lang w:eastAsia="ru-RU"/>
        </w:rPr>
        <w:t>Кинельский</w:t>
      </w:r>
      <w:r w:rsidRPr="00B1139C">
        <w:rPr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в течение 1 месяца.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>Члены семьи погибшего в течение указанного срока имеют право забрать баннер.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>По истечении месячного срока баннер подлежит дальнейшей утилизации.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5.9. Мемориальная доска, другой памятный знак устанавливаются за счет бюджетных средств сельского поселения </w:t>
      </w:r>
      <w:r w:rsidR="004C10D0" w:rsidRPr="004C10D0">
        <w:rPr>
          <w:color w:val="000000"/>
          <w:sz w:val="28"/>
          <w:szCs w:val="28"/>
          <w:lang w:eastAsia="ru-RU"/>
        </w:rPr>
        <w:t>Кинельский</w:t>
      </w:r>
      <w:r w:rsidR="004C10D0" w:rsidRPr="004C10D0">
        <w:rPr>
          <w:color w:val="000000"/>
          <w:sz w:val="28"/>
          <w:szCs w:val="28"/>
          <w:lang w:eastAsia="ru-RU"/>
        </w:rPr>
        <w:t xml:space="preserve"> </w:t>
      </w:r>
      <w:r w:rsidRPr="00B1139C">
        <w:rPr>
          <w:color w:val="000000"/>
          <w:sz w:val="28"/>
          <w:szCs w:val="28"/>
          <w:lang w:eastAsia="ru-RU"/>
        </w:rPr>
        <w:t>муниципального района Кинельский Самарской области.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 Допускается также установка мемориальной доски, другого памятного знака за счет внебюджетных средств. </w:t>
      </w:r>
    </w:p>
    <w:p w:rsidR="00B1139C" w:rsidRPr="00B1139C" w:rsidRDefault="00B1139C" w:rsidP="00B1139C">
      <w:pPr>
        <w:widowControl w:val="0"/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B1139C">
        <w:rPr>
          <w:b/>
          <w:color w:val="000000"/>
          <w:sz w:val="28"/>
          <w:szCs w:val="28"/>
          <w:lang w:eastAsia="ru-RU"/>
        </w:rPr>
        <w:t>Глава 6. АРХИТЕКТУРНО-ХУДОЖЕСТВЕННЫЕ ТРЕБОВАНИЯ, ПРЕДЪЯВЛЯЕМЫЕ К МЕМОРИАЛЬНОЙ ДОСКЕ, ДРУГОМУ ПАМЯТНОМУ ЗНАКУ, АРТ-ОБЪЕКТА (В ТОМ ЧИСЛЕ МУРАЛА)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6.1. Архитектурно-художественное решение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не должно противоречить характеру места его установки, особенностям среды, в которую он привносится как новый элемент.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учитываются следующие требования: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должен быть оформлен в лаконичной форме и содержать полностью фамилию, имя, отчество увековечиваемого лица на русском языке;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B1139C">
        <w:rPr>
          <w:color w:val="000000"/>
          <w:sz w:val="28"/>
          <w:szCs w:val="28"/>
          <w:lang w:eastAsia="ru-RU"/>
        </w:rPr>
        <w:t>мурала</w:t>
      </w:r>
      <w:proofErr w:type="spellEnd"/>
      <w:r w:rsidRPr="00B1139C">
        <w:rPr>
          <w:color w:val="000000"/>
          <w:sz w:val="28"/>
          <w:szCs w:val="28"/>
          <w:lang w:eastAsia="ru-RU"/>
        </w:rPr>
        <w:t xml:space="preserve">) обязательны сведения о заслугах увековечиваемого лица;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lastRenderedPageBreak/>
        <w:t xml:space="preserve">3) в композицию мемориальной доски кроме текста могут включаться портретные изображения, декоративные элементы, подсветка;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 xml:space="preserve">4) мемориальная доска, другой памятный знак выполняются из долговечного камня (мрамор, гранит) или металлического сплава (бронза, чугун); </w:t>
      </w:r>
    </w:p>
    <w:p w:rsidR="00B1139C" w:rsidRPr="00B1139C" w:rsidRDefault="00B1139C" w:rsidP="00B1139C">
      <w:pPr>
        <w:widowControl w:val="0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B1139C">
        <w:rPr>
          <w:color w:val="000000"/>
          <w:sz w:val="28"/>
          <w:szCs w:val="28"/>
          <w:lang w:eastAsia="ru-RU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B1139C" w:rsidRPr="004C10D0" w:rsidRDefault="00B1139C">
      <w:pPr>
        <w:rPr>
          <w:sz w:val="28"/>
          <w:szCs w:val="28"/>
        </w:rPr>
      </w:pPr>
    </w:p>
    <w:sectPr w:rsidR="00B1139C" w:rsidRPr="004C10D0" w:rsidSect="004C10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4D"/>
    <w:rsid w:val="0038160D"/>
    <w:rsid w:val="004C10D0"/>
    <w:rsid w:val="00A4124D"/>
    <w:rsid w:val="00B1139C"/>
    <w:rsid w:val="00B61378"/>
    <w:rsid w:val="00C02F3E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B34D"/>
  <w15:chartTrackingRefBased/>
  <w15:docId w15:val="{8C806BED-7FDC-40A0-BE82-EAD42AD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8">
    <w:name w:val="P58"/>
    <w:basedOn w:val="a"/>
    <w:rsid w:val="00B1139C"/>
    <w:pPr>
      <w:widowControl w:val="0"/>
      <w:tabs>
        <w:tab w:val="left" w:pos="-3420"/>
      </w:tabs>
      <w:suppressAutoHyphens w:val="0"/>
      <w:adjustRightInd w:val="0"/>
      <w:jc w:val="right"/>
    </w:pPr>
    <w:rPr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1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0D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2026-07-08T05:02:00Z</cp:lastPrinted>
  <dcterms:created xsi:type="dcterms:W3CDTF">2026-07-08T04:46:00Z</dcterms:created>
  <dcterms:modified xsi:type="dcterms:W3CDTF">2026-07-08T05:04:00Z</dcterms:modified>
</cp:coreProperties>
</file>