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</w:rPr>
        <w:t xml:space="preserve">                         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03.09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.2025</w:t>
      </w:r>
      <w:r>
        <w:rPr>
          <w:rFonts w:ascii="Tinos" w:hAnsi="Tinos" w:eastAsia="Tinos" w:cs="Tinos"/>
          <w:color w:val="222222"/>
          <w:sz w:val="28"/>
          <w:szCs w:val="28"/>
        </w:rPr>
      </w:r>
      <w:r>
        <w:rPr>
          <w:rFonts w:ascii="Tinos" w:hAnsi="Tinos" w:eastAsia="Tinos" w:cs="Tinos"/>
          <w:color w:val="222222"/>
          <w:sz w:val="28"/>
          <w:szCs w:val="28"/>
        </w:rPr>
      </w:r>
    </w:p>
    <w:p>
      <w:pPr>
        <w:pStyle w:val="867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67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b/>
          <w:sz w:val="28"/>
          <w:szCs w:val="28"/>
        </w:rPr>
        <w:t xml:space="preserve">Когда требуется согласие супруга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pStyle w:val="867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</w:rPr>
        <w:t xml:space="preserve">при регистрации недвижимости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Самарский Росреестр отвечает на часто задаваемый вопрос: когда необходимо согласие супруга при регистрации недвижимости, приобретенной в браке?</w:t>
      </w:r>
      <w:r>
        <w:rPr>
          <w:rFonts w:ascii="Tinos" w:hAnsi="Tinos" w:cs="Tinos"/>
          <w:color w:val="292c2f"/>
          <w:sz w:val="28"/>
          <w:szCs w:val="28"/>
        </w:rPr>
      </w:r>
      <w:r>
        <w:rPr>
          <w:rFonts w:ascii="Tinos" w:hAnsi="Tinos" w:cs="Tinos"/>
          <w:color w:val="292c2f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       Нажитое в браке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недвижимое имущество является совместной собственностью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супругов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, если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иное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н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е предусмотрено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брачным договором. </w:t>
      </w:r>
      <w:r>
        <w:rPr>
          <w:rFonts w:ascii="Tinos" w:hAnsi="Tinos" w:cs="Tinos"/>
          <w:color w:val="292c2f"/>
          <w:sz w:val="28"/>
          <w:szCs w:val="28"/>
        </w:rPr>
      </w:r>
      <w:r>
        <w:rPr>
          <w:rFonts w:ascii="Tinos" w:hAnsi="Tinos" w:cs="Tinos"/>
          <w:color w:val="292c2f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92c2f"/>
          <w:sz w:val="24"/>
        </w:rPr>
        <w:t xml:space="preserve">     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Оформлять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нотариал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ьно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согласие супруга необходимо для совершения:</w:t>
      </w: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- сделок по распоряжению совместно нажитым имуществом, касающихся</w:t>
      </w:r>
      <w:r>
        <w:rPr>
          <w:rFonts w:ascii="Roboto" w:hAnsi="Roboto" w:eastAsia="Roboto" w:cs="Roboto"/>
          <w:color w:val="292c2f"/>
          <w:sz w:val="24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приобретения, продажи, дарения, мены и других видов отчуждения;</w:t>
      </w: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</w:r>
    </w:p>
    <w:p>
      <w:pPr>
        <w:pStyle w:val="868"/>
        <w:numPr>
          <w:ilvl w:val="0"/>
          <w:numId w:val="8"/>
        </w:numPr>
        <w:ind w:right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292c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сделок, для которых установлена обязательная нотариальная форма 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(сделки по отчуждению долей;  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сделки, связанные с распоряжением недвижимым имуществом на условиях опеки, а также сделки по отчуждению недвижимого имущества, принадлежащего несовершеннолетнему гражданину или гражданину, признанному ограниченно дееспособным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; 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договора дарения недвижимого имущества, заключенные между гражданами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);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</w:r>
    </w:p>
    <w:p>
      <w:pPr>
        <w:pStyle w:val="868"/>
        <w:numPr>
          <w:ilvl w:val="0"/>
          <w:numId w:val="8"/>
        </w:numPr>
        <w:ind w:right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сделок, подлежащих обязательной государственной регистрации (договоры долевого участия, договоры уступки прав требования, договор аренды).</w:t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     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Отсутствие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согласия супруга на распоряжение недвижимостью не является основанием для отказа в госрегистрации. В случае отсутствия согласия регистрирующий орган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одновременно с внесением записи о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регистрации п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рава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внесет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в ЕГРН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отметку об отсутствии согласия второго супруга на совершение сделки.</w:t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eastAsia="Tinos" w:cs="Tinos"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Супруг, чье нотариально удостоверенное согласие на совершение сделки не было получено, вправе требовать признания сделки недействительной в судебном порядке в течение года со дня, когда он узнал или должен был узнать о совершении данной сделки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</w:t>
      </w: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       Согласие супруга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для совершения сделок с недвижимостью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не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требуется: </w:t>
      </w:r>
      <w:r>
        <w:rPr>
          <w:rFonts w:ascii="Roboto" w:hAnsi="Roboto" w:eastAsia="Roboto" w:cs="Roboto"/>
          <w:color w:val="292c2f"/>
          <w:sz w:val="24"/>
        </w:rPr>
        <w:br/>
      </w:r>
      <w:r>
        <w:rPr>
          <w:rFonts w:ascii="Tinos" w:hAnsi="Tinos" w:eastAsia="Tinos" w:cs="Tinos"/>
          <w:color w:val="292c2f"/>
          <w:sz w:val="28"/>
          <w:szCs w:val="28"/>
        </w:rPr>
        <w:t xml:space="preserve">- если недвижимость получена одним из супругов в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дар, в порядке наследования или по иным безвозмездным сделкам (например, в порядке приватизации);</w:t>
      </w:r>
      <w:r>
        <w:rPr>
          <w:rFonts w:ascii="Tinos" w:hAnsi="Tinos" w:cs="Tinos"/>
          <w:color w:val="292c2f"/>
          <w:sz w:val="28"/>
          <w:szCs w:val="28"/>
        </w:rPr>
      </w:r>
      <w:r>
        <w:rPr>
          <w:rFonts w:ascii="Tinos" w:hAnsi="Tinos" w:cs="Tinos"/>
          <w:color w:val="292c2f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- между супругами заключен брачный договор, устанавливающий раздельный режим собственности;</w:t>
      </w:r>
      <w:r>
        <w:rPr>
          <w:rFonts w:ascii="Tinos" w:hAnsi="Tinos" w:cs="Tinos"/>
          <w:color w:val="292c2f"/>
          <w:sz w:val="28"/>
          <w:szCs w:val="28"/>
        </w:rPr>
      </w:r>
      <w:r>
        <w:rPr>
          <w:rFonts w:ascii="Tinos" w:hAnsi="Tinos" w:cs="Tinos"/>
          <w:color w:val="292c2f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- и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меется решение суда о признании имущества личной собственностью одного из супругов;</w:t>
      </w:r>
      <w:r>
        <w:rPr>
          <w:rFonts w:ascii="Tinos" w:hAnsi="Tinos" w:cs="Tinos"/>
          <w:color w:val="292c2f"/>
          <w:sz w:val="28"/>
          <w:szCs w:val="28"/>
        </w:rPr>
      </w:r>
      <w:r>
        <w:rPr>
          <w:rFonts w:ascii="Tinos" w:hAnsi="Tinos" w:cs="Tinos"/>
          <w:color w:val="292c2f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- при регистрации права на земельный участок, предоставленный одному из супругов бесплатно в собственность, в соответствии с законом;</w:t>
      </w:r>
      <w:r>
        <w:rPr>
          <w:rFonts w:ascii="Tinos" w:hAnsi="Tinos" w:cs="Tinos"/>
          <w:color w:val="292c2f"/>
          <w:sz w:val="28"/>
          <w:szCs w:val="28"/>
        </w:rPr>
      </w:r>
      <w:r>
        <w:rPr>
          <w:rFonts w:ascii="Tinos" w:hAnsi="Tinos" w:cs="Tinos"/>
          <w:color w:val="292c2f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 - жилье куплено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одним из супругов на деньги, заработанные до брака.</w:t>
      </w:r>
      <w:r>
        <w:rPr>
          <w:rFonts w:ascii="Roboto" w:hAnsi="Roboto" w:eastAsia="Roboto" w:cs="Roboto"/>
          <w:color w:val="292c2f"/>
          <w:sz w:val="24"/>
        </w:rPr>
        <w:br/>
        <w:t xml:space="preserve">    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Нотариальное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удостоверение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согласия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супруга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служит гарантией законности сделки и защищает интересы второй стороны в случаях оспаривания действий по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распоряжению совместным имуществом.</w:t>
      </w:r>
      <w:r>
        <w:rPr>
          <w:rFonts w:ascii="Tinos" w:hAnsi="Tinos" w:cs="Tinos"/>
          <w:color w:val="292c2f"/>
          <w:sz w:val="28"/>
          <w:szCs w:val="28"/>
        </w:rPr>
      </w:r>
      <w:r>
        <w:rPr>
          <w:rFonts w:ascii="Tinos" w:hAnsi="Tinos" w:cs="Tinos"/>
          <w:color w:val="292c2f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539125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</w:t>
      </w:r>
      <w:r>
        <w:rPr>
          <w:rFonts w:ascii="Times New Roman" w:hAnsi="Times New Roman" w:cs="Times New Roman"/>
        </w:rPr>
        <w:t xml:space="preserve">овлен </w:t>
      </w:r>
      <w:r>
        <w:rPr>
          <w:rFonts w:ascii="Times New Roman" w:hAnsi="Times New Roman" w:cs="Times New Roman"/>
        </w:rPr>
        <w:t xml:space="preserve">Управлением </w:t>
      </w:r>
      <w:r>
        <w:rPr>
          <w:rFonts w:ascii="Times New Roman" w:hAnsi="Times New Roman" w:cs="Times New Roman"/>
        </w:rPr>
        <w:t xml:space="preserve">Росреестра по Самарской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09"/>
    <w:uiPriority w:val="10"/>
    <w:rPr>
      <w:sz w:val="48"/>
      <w:szCs w:val="48"/>
    </w:rPr>
  </w:style>
  <w:style w:type="character" w:styleId="680">
    <w:name w:val="Subtitle Char"/>
    <w:basedOn w:val="697"/>
    <w:link w:val="711"/>
    <w:uiPriority w:val="11"/>
    <w:rPr>
      <w:sz w:val="24"/>
      <w:szCs w:val="24"/>
    </w:rPr>
  </w:style>
  <w:style w:type="character" w:styleId="681">
    <w:name w:val="Quote Char"/>
    <w:link w:val="713"/>
    <w:uiPriority w:val="29"/>
    <w:rPr>
      <w:i/>
    </w:rPr>
  </w:style>
  <w:style w:type="character" w:styleId="682">
    <w:name w:val="Intense Quote Char"/>
    <w:link w:val="715"/>
    <w:uiPriority w:val="30"/>
    <w:rPr>
      <w:i/>
    </w:rPr>
  </w:style>
  <w:style w:type="character" w:styleId="683">
    <w:name w:val="Header Char"/>
    <w:basedOn w:val="697"/>
    <w:link w:val="717"/>
    <w:uiPriority w:val="99"/>
  </w:style>
  <w:style w:type="character" w:styleId="684">
    <w:name w:val="Caption Char"/>
    <w:basedOn w:val="721"/>
    <w:link w:val="719"/>
    <w:uiPriority w:val="99"/>
  </w:style>
  <w:style w:type="character" w:styleId="685">
    <w:name w:val="Footnote Text Char"/>
    <w:link w:val="850"/>
    <w:uiPriority w:val="99"/>
    <w:rPr>
      <w:sz w:val="18"/>
    </w:rPr>
  </w:style>
  <w:style w:type="character" w:styleId="686">
    <w:name w:val="Endnote Text Char"/>
    <w:link w:val="853"/>
    <w:uiPriority w:val="99"/>
    <w:rPr>
      <w:sz w:val="20"/>
    </w:rPr>
  </w:style>
  <w:style w:type="paragraph" w:styleId="687" w:default="1">
    <w:name w:val="Normal"/>
    <w:qFormat/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687"/>
    <w:next w:val="687"/>
    <w:link w:val="710"/>
    <w:uiPriority w:val="10"/>
    <w:qFormat/>
    <w:pPr>
      <w:contextualSpacing/>
      <w:spacing w:before="300"/>
    </w:pPr>
    <w:rPr>
      <w:sz w:val="48"/>
      <w:szCs w:val="48"/>
    </w:rPr>
  </w:style>
  <w:style w:type="character" w:styleId="710" w:customStyle="1">
    <w:name w:val="Заголовок Знак"/>
    <w:link w:val="709"/>
    <w:uiPriority w:val="10"/>
    <w:rPr>
      <w:sz w:val="48"/>
      <w:szCs w:val="48"/>
    </w:rPr>
  </w:style>
  <w:style w:type="paragraph" w:styleId="711">
    <w:name w:val="Subtitle"/>
    <w:basedOn w:val="687"/>
    <w:next w:val="687"/>
    <w:link w:val="712"/>
    <w:uiPriority w:val="11"/>
    <w:qFormat/>
    <w:pPr>
      <w:spacing w:before="200"/>
    </w:pPr>
    <w:rPr>
      <w:sz w:val="24"/>
      <w:szCs w:val="24"/>
    </w:rPr>
  </w:style>
  <w:style w:type="character" w:styleId="712" w:customStyle="1">
    <w:name w:val="Подзаголовок Знак"/>
    <w:link w:val="711"/>
    <w:uiPriority w:val="11"/>
    <w:rPr>
      <w:sz w:val="24"/>
      <w:szCs w:val="24"/>
    </w:rPr>
  </w:style>
  <w:style w:type="paragraph" w:styleId="713">
    <w:name w:val="Quote"/>
    <w:basedOn w:val="687"/>
    <w:next w:val="687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7"/>
    <w:next w:val="687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8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link w:val="717"/>
    <w:uiPriority w:val="99"/>
  </w:style>
  <w:style w:type="paragraph" w:styleId="719">
    <w:name w:val="Footer"/>
    <w:basedOn w:val="68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uiPriority w:val="99"/>
  </w:style>
  <w:style w:type="paragraph" w:styleId="721">
    <w:name w:val="Caption"/>
    <w:basedOn w:val="687"/>
    <w:next w:val="68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2" w:customStyle="1">
    <w:name w:val="Нижний колонтитул Знак"/>
    <w:link w:val="719"/>
    <w:uiPriority w:val="99"/>
  </w:style>
  <w:style w:type="table" w:styleId="723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4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563c1" w:themeColor="hyperlink"/>
      <w:u w:val="single"/>
    </w:rPr>
  </w:style>
  <w:style w:type="paragraph" w:styleId="850">
    <w:name w:val="footnote text"/>
    <w:basedOn w:val="68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68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687"/>
    <w:next w:val="687"/>
    <w:uiPriority w:val="39"/>
    <w:unhideWhenUsed/>
    <w:pPr>
      <w:spacing w:after="57"/>
    </w:pPr>
  </w:style>
  <w:style w:type="paragraph" w:styleId="857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8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9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0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1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2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3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4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7"/>
    <w:next w:val="687"/>
    <w:uiPriority w:val="99"/>
    <w:unhideWhenUsed/>
    <w:pPr>
      <w:spacing w:after="0"/>
    </w:pPr>
  </w:style>
  <w:style w:type="paragraph" w:styleId="867">
    <w:name w:val="No Spacing"/>
    <w:basedOn w:val="687"/>
    <w:uiPriority w:val="1"/>
    <w:qFormat/>
    <w:pPr>
      <w:spacing w:after="0" w:line="240" w:lineRule="auto"/>
    </w:pPr>
  </w:style>
  <w:style w:type="paragraph" w:styleId="868">
    <w:name w:val="List Paragraph"/>
    <w:basedOn w:val="687"/>
    <w:uiPriority w:val="34"/>
    <w:qFormat/>
    <w:pPr>
      <w:contextualSpacing/>
      <w:ind w:left="720"/>
    </w:pPr>
  </w:style>
  <w:style w:type="paragraph" w:styleId="869" w:customStyle="1">
    <w:name w:val="Обычный (веб)"/>
    <w:next w:val="67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Основной текст 3"/>
    <w:next w:val="672"/>
    <w:link w:val="67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53</cp:revision>
  <dcterms:created xsi:type="dcterms:W3CDTF">2025-04-09T05:40:00Z</dcterms:created>
  <dcterms:modified xsi:type="dcterms:W3CDTF">2025-09-03T05:24:03Z</dcterms:modified>
</cp:coreProperties>
</file>