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616417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839"/>
        <w:ind w:firstLine="708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9"/>
        <w:jc w:val="right"/>
        <w:spacing w:line="360" w:lineRule="auto"/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ПРЕСС-РЕЛИЗ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39"/>
        <w:jc w:val="right"/>
        <w:spacing w:line="360" w:lineRule="auto"/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06.02.2025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92929"/>
          <w:sz w:val="28"/>
          <w:szCs w:val="28"/>
          <w:highlight w:val="none"/>
        </w:rPr>
        <w:t xml:space="preserve">«Градпроработка онлайн»</w:t>
      </w:r>
      <w:r>
        <w:rPr>
          <w:rFonts w:ascii="Tinos" w:hAnsi="Tinos" w:eastAsia="Tinos" w:cs="Tinos"/>
          <w:b/>
          <w:bCs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92929"/>
          <w:sz w:val="28"/>
          <w:szCs w:val="28"/>
          <w:highlight w:val="none"/>
        </w:rPr>
      </w:r>
    </w:p>
    <w:p>
      <w:pPr>
        <w:pStyle w:val="839"/>
        <w:ind w:firstLine="708"/>
        <w:spacing w:line="360" w:lineRule="auto"/>
        <w:rPr>
          <w:rFonts w:ascii="Tinos" w:hAnsi="Tinos" w:eastAsia="Tinos" w:cs="Tinos"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</w:p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color w:val="292929"/>
          <w:sz w:val="28"/>
          <w:szCs w:val="28"/>
          <w:highlight w:val="white"/>
        </w:rPr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В самарском регионе в рамках реализации НСПД 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сервис «Градпроработка онлайн» (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https://nspd.gov.ru/urban-analyze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)  — один из самых востребованных ресурсов среди местных жителей и инвесторов региона.</w:t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</w:p>
    <w:p>
      <w:pPr>
        <w:pStyle w:val="839"/>
        <w:ind w:firstLine="708"/>
        <w:jc w:val="both"/>
        <w:spacing w:line="360" w:lineRule="auto"/>
        <w:rPr>
          <w:rFonts w:ascii="Tinos" w:hAnsi="Tinos" w:cs="Tinos"/>
          <w:color w:val="292929"/>
          <w:sz w:val="28"/>
          <w:szCs w:val="28"/>
          <w:highlight w:val="white"/>
        </w:rPr>
      </w:pP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 Этот инновационный инструмент предназначен для упрощения и ускорения процесса градостроительного проектирования, предоставляя пользователям доступ к актуальной информации</w:t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 и современным технологиям. С помощью данного сервиса архитекторы, инженеры и застройщики могут в режиме реального времени получать данные о земельных участках, правилах и существующих инфраструктурных ограничениях. </w:t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Он предлагает уникальные возможности для взаимодействия с городскими структурами и гарантирует прозрачность процессуального оформления всех н</w:t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еобходимых заявок. Благодаря понятному интерфейсу пользователи могут легко получать доступ к актуальным данным о земельных участках, проектируемых объектах и зонировании.</w:t>
      </w:r>
      <w:r>
        <w:rPr>
          <w:rFonts w:ascii="Tinos" w:hAnsi="Tinos" w:cs="Tinos"/>
          <w:color w:val="292929"/>
          <w:sz w:val="28"/>
          <w:szCs w:val="28"/>
          <w:highlight w:val="white"/>
        </w:rPr>
      </w:r>
      <w:r>
        <w:rPr>
          <w:rFonts w:ascii="Tinos" w:hAnsi="Tinos" w:cs="Tinos"/>
          <w:color w:val="292929"/>
          <w:sz w:val="28"/>
          <w:szCs w:val="28"/>
          <w:highlight w:val="white"/>
        </w:rPr>
      </w:r>
    </w:p>
    <w:p>
      <w:pPr>
        <w:pStyle w:val="839"/>
        <w:jc w:val="both"/>
        <w:spacing w:line="360" w:lineRule="auto"/>
        <w:rPr>
          <w:rFonts w:ascii="Tinos" w:hAnsi="Tinos" w:cs="Tinos"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cs="Tinos"/>
          <w:color w:val="292929"/>
          <w:sz w:val="28"/>
          <w:szCs w:val="28"/>
          <w:highlight w:val="none"/>
        </w:rPr>
      </w:r>
      <w:r>
        <w:rPr>
          <w:rFonts w:ascii="Tinos" w:hAnsi="Tinos" w:cs="Tinos"/>
          <w:color w:val="292929"/>
          <w:sz w:val="28"/>
          <w:szCs w:val="28"/>
          <w:highlight w:val="none"/>
        </w:rPr>
      </w:r>
    </w:p>
    <w:p>
      <w:pPr>
        <w:pStyle w:val="839"/>
        <w:jc w:val="center"/>
        <w:spacing w:line="360" w:lineRule="auto"/>
        <w:rPr>
          <w:rFonts w:ascii="Tinos" w:hAnsi="Tinos" w:cs="Tinos"/>
          <w:b w:val="0"/>
          <w:bCs w:val="0"/>
          <w:color w:val="292929"/>
          <w:sz w:val="28"/>
          <w:szCs w:val="28"/>
          <w:highlight w:val="none"/>
          <w:u w:val="single"/>
        </w:rPr>
      </w:pPr>
      <w:r>
        <w:rPr>
          <w:rFonts w:ascii="Tinos" w:hAnsi="Tinos" w:eastAsia="Tinos" w:cs="Tinos"/>
          <w:b w:val="0"/>
          <w:bCs w:val="0"/>
          <w:color w:val="292929"/>
          <w:sz w:val="28"/>
          <w:szCs w:val="28"/>
          <w:u w:val="single"/>
        </w:rPr>
        <w:t xml:space="preserve">Информационный сервис «Градпроработка онлайн» предлагает обширный спектр возможностей:</w:t>
      </w:r>
      <w:r>
        <w:rPr>
          <w:rFonts w:ascii="Tinos" w:hAnsi="Tinos" w:cs="Tinos"/>
          <w:b w:val="0"/>
          <w:bCs w:val="0"/>
          <w:color w:val="292929"/>
          <w:sz w:val="28"/>
          <w:szCs w:val="28"/>
          <w:highlight w:val="none"/>
          <w:u w:val="single"/>
        </w:rPr>
      </w:r>
      <w:r>
        <w:rPr>
          <w:rFonts w:ascii="Tinos" w:hAnsi="Tinos" w:cs="Tinos"/>
          <w:b w:val="0"/>
          <w:bCs w:val="0"/>
          <w:color w:val="292929"/>
          <w:sz w:val="28"/>
          <w:szCs w:val="28"/>
          <w:highlight w:val="none"/>
          <w:u w:val="single"/>
        </w:rPr>
      </w:r>
    </w:p>
    <w:p>
      <w:pPr>
        <w:pStyle w:val="839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  <w:t xml:space="preserve">Узнайте о строительных ограничениях и основных вариантах разрешенного использования земельного участка, просто введя его кадастровый номер.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Узнайте о всех объектах, находящихся в стадии строительства, а также о близлежащей социальной инфраструктуре, обеспечивающей комфорт проживания.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Получите информацию о пересечении вашего земельного участка с землями сельскохозяйственного назначения, включая актуальные сведения об особо ценных и мелиорируемых угодьях.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Воспользуйтесь данными для определения границ формируемого земельного участка относительно территориальных зон и населенных пунктов по загруженным координатам.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Проверьте статус регистрации вашего адреса в Федеральной информационной адресной системе (ФИАС).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Изучите результаты экологического мониторинга состояния окружающей среды.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Убедитесь, граничит ли ваш участок с землями лесного фонда, а значит, соблюдайте обязательные требования пожарной безопасности.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9"/>
        <w:numPr>
          <w:ilvl w:val="0"/>
          <w:numId w:val="3"/>
        </w:numPr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  <w:t xml:space="preserve">Узнайте, попадает ли объект в зоны запрета продажи алкоголя, введя адрес торговой точки.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9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С помощью сервиса жители могут напрямую влиять на процессы градостроительства, предлагая свои идеи и комментарии. Это создает диалог между властью и обществом, что в свою очередь способствует повышению качества жизни в регионе. Таким образом, «Градпроработ</w:t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ка онлайн» продолжает укреплять свои позиции как надежный помощник в мире градостроительства и инвестиций.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014871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2025-02-06T05:00:11Z</dcterms:modified>
</cp:coreProperties>
</file>