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</w:pP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37"/>
        <w:gridCol w:w="4434"/>
      </w:tblGrid>
      <w:tr>
        <w:trPr>
          <w:trHeight w:val="1250"/>
        </w:trPr>
        <w:tc>
          <w:tcPr>
            <w:tcW w:w="51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i/>
                <w:color w:val="003366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124505" cy="477317"/>
                      <wp:effectExtent l="0" t="0" r="0" b="0"/>
                      <wp:docPr id="1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3124505" cy="4773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46.02pt;height:37.58pt;mso-wrap-distance-left:0.00pt;mso-wrap-distance-top:0.00pt;mso-wrap-distance-right:0.00pt;mso-wrap-distance-bottom:0.00pt;" stroked="f">
                      <v:path textboxrect="0,0,0,0"/>
                      <v:imagedata r:id="rId7" o:title=""/>
                    </v:shape>
                  </w:pict>
                </mc:Fallback>
              </mc:AlternateContent>
            </w:r>
            <w:r>
              <w:rPr>
                <w:i/>
                <w:color w:val="003366"/>
              </w:rPr>
            </w:r>
          </w:p>
        </w:tc>
        <w:tc>
          <w:tcPr>
            <w:tcW w:w="443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</w:r>
          </w:p>
          <w:p>
            <w:pPr>
              <w:pStyle w:val="Header"/>
              <w:jc w:val="center"/>
              <w:rPr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г. Самара, ул. Ленинская, 25а, корп. 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val="en-US"/>
              </w:rPr>
              <w:t xml:space="preserve">№ 1</w:t>
            </w:r>
            <w:r>
              <w:rPr>
                <w:bCs/>
                <w:color w:val="000000"/>
                <w:lang w:val="en-US"/>
              </w:rPr>
            </w:r>
          </w:p>
          <w:p>
            <w:pPr>
              <w:pStyle w:val="Normal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e-mail: </w:t>
            </w:r>
            <w:r>
              <w:fldChar w:fldCharType="begin"/>
            </w:r>
            <w:r>
              <w:rPr>
                <w:lang w:val="en-US"/>
              </w:rPr>
              <w:instrText xml:space="preserve"> HYPERLINK "mailto:pr_fkp@mail.ru" </w:instrText>
            </w:r>
            <w:r>
              <w:fldChar w:fldCharType="separate"/>
            </w:r>
            <w:r>
              <w:rPr>
                <w:rStyle w:val="Hyperlink"/>
                <w:bCs/>
                <w:color w:val="000000"/>
                <w:lang w:val="en-US"/>
              </w:rPr>
              <w:t xml:space="preserve">pr</w:t>
            </w:r>
            <w:r>
              <w:rPr>
                <w:rStyle w:val="Hyperlink"/>
                <w:bCs/>
                <w:color w:val="000000"/>
              </w:rPr>
              <w:t xml:space="preserve">_</w:t>
            </w:r>
            <w:r>
              <w:rPr>
                <w:rStyle w:val="Hyperlink"/>
                <w:bCs/>
                <w:color w:val="000000"/>
                <w:lang w:val="en-US"/>
              </w:rPr>
              <w:t xml:space="preserve">fkp</w:t>
            </w:r>
            <w:r>
              <w:rPr>
                <w:rStyle w:val="Hyperlink"/>
                <w:bCs/>
                <w:color w:val="000000"/>
              </w:rPr>
              <w:t xml:space="preserve">@</w:t>
            </w:r>
            <w:r>
              <w:rPr>
                <w:rStyle w:val="Hyperlink"/>
                <w:bCs/>
                <w:color w:val="000000"/>
                <w:lang w:val="en-US"/>
              </w:rPr>
              <w:t xml:space="preserve">mail</w:t>
            </w:r>
            <w:r>
              <w:rPr>
                <w:rStyle w:val="Hyperlink"/>
                <w:bCs/>
                <w:color w:val="000000"/>
              </w:rPr>
              <w:t xml:space="preserve">.</w:t>
            </w:r>
            <w:r>
              <w:rPr>
                <w:rStyle w:val="Hyperlink"/>
                <w:bCs/>
                <w:color w:val="000000"/>
                <w:lang w:val="en-US"/>
              </w:rPr>
              <w:t xml:space="preserve">ru</w:t>
            </w:r>
            <w:r>
              <w:fldChar w:fldCharType="end"/>
            </w:r>
            <w:r>
              <w:rPr>
                <w:bCs/>
                <w:color w:val="000000"/>
                <w:lang w:val="en-US"/>
              </w:rPr>
              <w:t xml:space="preserve">, </w:t>
              <w:br w:type="textWrapping" w:clear="all"/>
            </w:r>
            <w:r>
              <w:rPr>
                <w:bCs/>
                <w:color w:val="000000"/>
              </w:rPr>
              <w:t xml:space="preserve">ВК</w:t>
            </w:r>
            <w:r>
              <w:rPr>
                <w:bCs/>
                <w:color w:val="000000"/>
                <w:lang w:val="en-US"/>
              </w:rPr>
              <w:t xml:space="preserve">: vk.com/fkp_samara, </w:t>
            </w:r>
            <w:r>
              <w:fldChar w:fldCharType="begin"/>
            </w:r>
            <w:r>
              <w:rPr>
                <w:lang w:val="en-US"/>
              </w:rPr>
              <w:instrText xml:space="preserve"> HYPERLINK "http://www.kadastr.ru/" </w:instrText>
            </w:r>
            <w:r>
              <w:fldChar w:fldCharType="separate"/>
            </w:r>
            <w:r>
              <w:rPr>
                <w:rStyle w:val="Hyperlink"/>
                <w:bCs/>
                <w:lang w:val="en-US"/>
              </w:rPr>
              <w:t xml:space="preserve">www.kadastr.ru</w:t>
            </w:r>
            <w:r>
              <w:fldChar w:fldCharType="end"/>
            </w:r>
            <w:r>
              <w:rPr>
                <w:bCs/>
                <w:color w:val="000000"/>
                <w:lang w:val="en-US"/>
              </w:rPr>
            </w:r>
          </w:p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3366"/>
        </w:rPr>
      </w:pPr>
      <w:r>
        <w:rPr>
          <w:rFonts w:ascii="Times New Roman CYR" w:hAnsi="Times New Roman CYR" w:cs="Times New Roman CYR"/>
          <w:b/>
          <w:bCs/>
          <w:color w:val="003366"/>
        </w:rPr>
        <w:t xml:space="preserve">Руководство</w:t>
      </w:r>
      <w:r>
        <w:rPr>
          <w:rFonts w:ascii="Times New Roman CYR" w:hAnsi="Times New Roman CYR" w:cs="Times New Roman CYR"/>
          <w:b/>
          <w:bCs/>
          <w:color w:val="003366"/>
        </w:rPr>
        <w:t xml:space="preserve"> самарского Роскадастра </w:t>
      </w:r>
      <w:r>
        <w:rPr>
          <w:rFonts w:ascii="Times New Roman CYR" w:hAnsi="Times New Roman CYR" w:cs="Times New Roman CYR"/>
          <w:b/>
          <w:bCs/>
          <w:color w:val="003366"/>
        </w:rPr>
        <w:t xml:space="preserve">приняло</w:t>
      </w:r>
      <w:r>
        <w:rPr>
          <w:rFonts w:ascii="Times New Roman CYR" w:hAnsi="Times New Roman CYR" w:cs="Times New Roman CYR"/>
          <w:b/>
          <w:bCs/>
          <w:color w:val="003366"/>
        </w:rPr>
        <w:t xml:space="preserve"> участие в </w:t>
      </w:r>
      <w:r>
        <w:rPr>
          <w:rFonts w:ascii="Times New Roman CYR" w:hAnsi="Times New Roman CYR" w:cs="Times New Roman CYR"/>
          <w:b/>
          <w:bCs/>
          <w:color w:val="003366"/>
        </w:rPr>
        <w:t xml:space="preserve">заседании </w:t>
      </w:r>
      <w:r>
        <w:rPr>
          <w:rFonts w:ascii="Times New Roman CYR" w:hAnsi="Times New Roman CYR" w:cs="Times New Roman CYR"/>
          <w:b/>
          <w:bCs/>
          <w:color w:val="003366"/>
        </w:rPr>
        <w:t xml:space="preserve">коллегии регионального Росреестра</w:t>
      </w:r>
      <w:r>
        <w:rPr>
          <w:rFonts w:ascii="Times New Roman CYR" w:hAnsi="Times New Roman CYR" w:cs="Times New Roman CYR"/>
          <w:b/>
          <w:bCs/>
          <w:color w:val="003366"/>
        </w:rPr>
      </w:r>
    </w:p>
    <w:p>
      <w:pPr>
        <w:pStyle w:val="Normal"/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pStyle w:val="Normal"/>
        <w:tabs>
          <w:tab w:val="left" w:pos="1080" w:leader="none"/>
        </w:tabs>
        <w:spacing w:line="360" w:lineRule="auto"/>
        <w:ind w:firstLine="72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</w:t>
      </w:r>
      <w:r>
        <w:rPr>
          <w:rFonts w:ascii="Times New Roman CYR" w:hAnsi="Times New Roman CYR" w:cs="Times New Roman CYR"/>
          <w:b/>
          <w:bCs/>
        </w:rPr>
        <w:t xml:space="preserve"> конференц-зале здания Управления Росреестра по Самарской области состоялось расширенное заседание коллегии ведомства. </w:t>
      </w:r>
      <w:r>
        <w:rPr>
          <w:rFonts w:ascii="Times New Roman CYR" w:hAnsi="Times New Roman CYR" w:cs="Times New Roman CYR"/>
          <w:b/>
          <w:bCs/>
        </w:rPr>
        <w:t xml:space="preserve">С докладом по итогам 2024 года выступила и.о. директора филиала ППК «Роскадастр» по Самарской области Светлана Вандышева.</w:t>
      </w:r>
    </w:p>
    <w:p>
      <w:pPr>
        <w:pStyle w:val="Normal"/>
        <w:tabs>
          <w:tab w:val="left" w:pos="1080" w:leader="none"/>
        </w:tabs>
        <w:spacing w:line="360" w:lineRule="auto"/>
        <w:ind w:firstLine="72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Открыл мероприятие руководитель Управления Федеральной службы государственной регистрации, кадастра и картографии по Самарской области </w:t>
      </w:r>
      <w:r>
        <w:rPr>
          <w:rFonts w:ascii="Times New Roman CYR" w:hAnsi="Times New Roman CYR" w:cs="Times New Roman CYR"/>
          <w:b/>
          <w:bCs/>
        </w:rPr>
        <w:t xml:space="preserve">Вадим Маликов</w:t>
      </w:r>
      <w:r>
        <w:rPr>
          <w:rFonts w:ascii="Times New Roman CYR" w:hAnsi="Times New Roman CYR" w:cs="Times New Roman CYR"/>
          <w:bCs/>
        </w:rPr>
        <w:t xml:space="preserve">. В</w:t>
      </w:r>
      <w:r>
        <w:rPr>
          <w:rFonts w:ascii="Times New Roman CYR" w:hAnsi="Times New Roman CYR" w:cs="Times New Roman CYR"/>
          <w:bCs/>
        </w:rPr>
        <w:t xml:space="preserve"> своем докладе он отметил, что прошедший год был непростым и насыщенным событиями. При этом выполнены все поставленные задачи и заложен фундамент для дальнейшего развития.</w:t>
      </w:r>
      <w:r>
        <w:rPr>
          <w:rFonts w:ascii="Times New Roman CYR" w:hAnsi="Times New Roman CYR" w:cs="Times New Roman CYR"/>
          <w:bCs/>
        </w:rPr>
      </w:r>
    </w:p>
    <w:p>
      <w:pPr>
        <w:pStyle w:val="Normal"/>
        <w:tabs>
          <w:tab w:val="left" w:pos="1080" w:leader="none"/>
        </w:tabs>
        <w:spacing w:line="360" w:lineRule="auto"/>
        <w:ind w:firstLine="72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Одной из основополагающих задач отмечены комплексные кадастровые работы,</w:t>
      </w:r>
      <w:r>
        <w:rPr>
          <w:rFonts w:ascii="Times New Roman CYR" w:hAnsi="Times New Roman CYR" w:cs="Times New Roman CYR"/>
          <w:bCs/>
        </w:rPr>
        <w:t xml:space="preserve"> которые на территории С</w:t>
      </w:r>
      <w:r>
        <w:rPr>
          <w:rFonts w:ascii="Times New Roman CYR" w:hAnsi="Times New Roman CYR" w:cs="Times New Roman CYR"/>
          <w:bCs/>
        </w:rPr>
        <w:t xml:space="preserve">амарской губернии будет проводить филиал ППК «Роскадастр»</w:t>
      </w:r>
      <w:r>
        <w:rPr>
          <w:rFonts w:ascii="Times New Roman CYR" w:hAnsi="Times New Roman CYR" w:cs="Times New Roman CYR"/>
          <w:bCs/>
        </w:rPr>
        <w:t xml:space="preserve"> по Самарской области. Региональный Роскадастр имеет опыт проведения кадастровых работ. Только в 2024 году </w:t>
      </w:r>
      <w:r>
        <w:rPr>
          <w:rFonts w:ascii="Times New Roman CYR" w:hAnsi="Times New Roman CYR" w:cs="Times New Roman CYR"/>
          <w:bCs/>
        </w:rPr>
        <w:t xml:space="preserve">такие работы исполнены в отношении </w:t>
      </w:r>
      <w:r>
        <w:rPr>
          <w:rFonts w:ascii="Times New Roman CYR" w:hAnsi="Times New Roman CYR" w:cs="Times New Roman CYR"/>
          <w:bCs/>
        </w:rPr>
        <w:t xml:space="preserve">31 кадастрового квартала</w:t>
      </w:r>
      <w:r>
        <w:rPr>
          <w:rFonts w:ascii="Times New Roman CYR" w:hAnsi="Times New Roman CYR" w:cs="Times New Roman CYR"/>
          <w:bCs/>
        </w:rPr>
        <w:t xml:space="preserve">. В текущем году предстоит обследовать </w:t>
      </w:r>
      <w:r>
        <w:rPr>
          <w:rFonts w:ascii="Times New Roman CYR" w:hAnsi="Times New Roman CYR" w:cs="Times New Roman CYR"/>
          <w:bCs/>
        </w:rPr>
        <w:t xml:space="preserve">307</w:t>
      </w:r>
      <w:r>
        <w:rPr>
          <w:rFonts w:ascii="Times New Roman CYR" w:hAnsi="Times New Roman CYR" w:cs="Times New Roman CYR"/>
          <w:bCs/>
        </w:rPr>
        <w:t xml:space="preserve"> кадастровых кварталов</w:t>
      </w:r>
      <w:r>
        <w:rPr>
          <w:rFonts w:ascii="Times New Roman CYR" w:hAnsi="Times New Roman CYR" w:cs="Times New Roman CYR"/>
          <w:bCs/>
        </w:rPr>
        <w:t xml:space="preserve"> в 14 районах области с примерным объемом в 48000 объектов недвижимости</w:t>
      </w:r>
      <w:r>
        <w:rPr>
          <w:rFonts w:ascii="Times New Roman CYR" w:hAnsi="Times New Roman CYR" w:cs="Times New Roman CYR"/>
          <w:bCs/>
        </w:rPr>
        <w:t xml:space="preserve">.</w:t>
      </w:r>
      <w:r>
        <w:rPr>
          <w:rFonts w:ascii="Times New Roman CYR" w:hAnsi="Times New Roman CYR" w:cs="Times New Roman CYR"/>
          <w:bCs/>
        </w:rPr>
      </w:r>
    </w:p>
    <w:p>
      <w:pPr>
        <w:pStyle w:val="Normal"/>
        <w:tabs>
          <w:tab w:val="left" w:pos="1080" w:leader="none"/>
        </w:tabs>
        <w:spacing w:line="360" w:lineRule="auto"/>
        <w:ind w:firstLine="72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В своем выступлении </w:t>
      </w:r>
      <w:r>
        <w:rPr>
          <w:rFonts w:ascii="Times New Roman CYR" w:hAnsi="Times New Roman CYR" w:cs="Times New Roman CYR"/>
          <w:b/>
          <w:bCs/>
        </w:rPr>
        <w:t xml:space="preserve">Светлана Вандышева</w:t>
      </w:r>
      <w:r>
        <w:rPr>
          <w:rFonts w:ascii="Times New Roman CYR" w:hAnsi="Times New Roman CYR" w:cs="Times New Roman CYR"/>
          <w:bCs/>
        </w:rPr>
        <w:t xml:space="preserve"> сделала акцент на поставленные задачи</w:t>
      </w:r>
      <w:r>
        <w:rPr>
          <w:rFonts w:ascii="Times New Roman CYR" w:hAnsi="Times New Roman CYR" w:cs="Times New Roman CYR"/>
          <w:bCs/>
        </w:rPr>
        <w:t xml:space="preserve"> и необходимость исполнения плановых показателей, утвержденных планами-графиками на 2025 год</w:t>
      </w:r>
      <w:r>
        <w:rPr>
          <w:rFonts w:ascii="Times New Roman CYR" w:hAnsi="Times New Roman CYR" w:cs="Times New Roman CYR"/>
          <w:bCs/>
        </w:rPr>
        <w:t xml:space="preserve">. </w:t>
      </w:r>
    </w:p>
    <w:p>
      <w:pPr>
        <w:pStyle w:val="HtmlNormal"/>
        <w:spacing w:before="0" w:beforeAutospacing="0" w:after="0" w:afterAutospacing="0" w:line="360" w:lineRule="auto"/>
        <w:ind w:firstLine="720"/>
        <w:jc w:val="both"/>
        <w:rPr>
          <w:b/>
        </w:rPr>
      </w:pPr>
      <w:r>
        <w:rPr>
          <w:i/>
        </w:rPr>
        <w:t xml:space="preserve">«Количество кварталов, в отношении которых необходимо провести комплексные кадастровые работы, выглядит </w:t>
      </w:r>
      <w:r>
        <w:rPr>
          <w:i/>
        </w:rPr>
        <w:t xml:space="preserve">внушительно на фоне показателей прошлых лет. Безусловно, это вызов для нашей команды специалистов. Дорожная карта готова, подготовительные работы идут полным ходом. Тем не менее не останутся без внимания и текущие важные задачи</w:t>
      </w:r>
      <w:r>
        <w:rPr>
          <w:i/>
        </w:rPr>
        <w:t xml:space="preserve">»</w:t>
      </w:r>
      <w:r>
        <w:rPr>
          <w:i/>
        </w:rPr>
        <w:t xml:space="preserve">, - </w:t>
      </w:r>
      <w:r>
        <w:t xml:space="preserve">прокомментировала </w:t>
      </w:r>
      <w:r>
        <w:rPr>
          <w:b/>
        </w:rPr>
        <w:t xml:space="preserve">и.о. </w:t>
      </w:r>
      <w:r>
        <w:rPr>
          <w:rFonts w:ascii="Times New Roman CYR" w:hAnsi="Times New Roman CYR" w:cs="Times New Roman CYR"/>
          <w:b/>
          <w:bCs/>
        </w:rPr>
        <w:t xml:space="preserve">директора филиала ППК «Роскадастр» по Самарской области Светлана Вандышева.</w:t>
      </w:r>
      <w:r>
        <w:rPr>
          <w:b/>
        </w:rPr>
      </w:r>
    </w:p>
    <w:p>
      <w:pPr>
        <w:pStyle w:val="HtmlNormal"/>
        <w:spacing w:before="0" w:beforeAutospacing="0" w:after="0" w:afterAutospacing="0" w:line="360" w:lineRule="auto"/>
        <w:ind w:firstLine="720"/>
        <w:jc w:val="both"/>
        <w:rPr>
          <w:i/>
          <w:color w:val="003366"/>
        </w:rPr>
      </w:pPr>
      <w:r>
        <w:rPr>
          <w:i/>
          <w:color w:val="003366"/>
        </w:rPr>
      </w:r>
    </w:p>
    <w:p>
      <w:pPr>
        <w:pStyle w:val="HtmlNormal"/>
        <w:spacing w:before="0" w:beforeAutospacing="0" w:after="0" w:afterAutospacing="0" w:line="360" w:lineRule="auto"/>
        <w:ind w:firstLine="709"/>
        <w:jc w:val="both"/>
        <w:rPr>
          <w:i/>
          <w:color w:val="003366"/>
        </w:rPr>
      </w:pPr>
      <w:r>
        <w:rPr>
          <w:i/>
          <w:color w:val="003366"/>
        </w:rPr>
        <w:t xml:space="preserve">Филиал ППК «</w:t>
      </w:r>
      <w:r>
        <w:rPr>
          <w:i/>
          <w:color w:val="003366"/>
        </w:rPr>
        <w:t xml:space="preserve">Роскадастр</w:t>
      </w:r>
      <w:r>
        <w:rPr>
          <w:i/>
          <w:color w:val="003366"/>
        </w:rPr>
        <w:t xml:space="preserve">» </w:t>
      </w:r>
      <w:r>
        <w:rPr>
          <w:i/>
          <w:color w:val="003366"/>
        </w:rPr>
        <w:t xml:space="preserve">по Самарской области       </w:t>
      </w:r>
      <w:r>
        <w:rPr>
          <w:i/>
          <w:color w:val="003366"/>
        </w:rPr>
        <w:t xml:space="preserve">                                               </w:t>
      </w:r>
    </w:p>
    <w:sectPr>
      <w:type w:val="nextPage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 CYR">
    <w:panose1 w:val="02000603000000000000"/>
  </w:font>
  <w:font w:name="Wingdings">
    <w:panose1 w:val="05010000000000000000"/>
  </w:font>
  <w:font w:name="Symbol">
    <w:panose1 w:val="05010000000000000000"/>
  </w:font>
  <w:font w:name="Arial">
    <w:panose1 w:val="020B0604020202020204"/>
  </w:font>
  <w:font w:name="Segoe UI">
    <w:panose1 w:val="020B0502040504020204"/>
  </w:font>
  <w:font w:name="Courier New">
    <w:panose1 w:val="02070409020205020404"/>
  </w:font>
  <w:font w:name="Mangal">
    <w:panose1 w:val="02040503050306020203"/>
  </w:font>
  <w:font w:name="Verdana">
    <w:panose1 w:val="020B0604030504040204"/>
  </w:font>
  <w:font w:name="WenQuanYi Micro Hei">
    <w:panose1 w:val="02000603000000000000"/>
  </w:font>
  <w:font w:name="Liberation Serif">
    <w:panose1 w:val="020206030504050203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Heading1"/>
    <w:link w:val="Normal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NormalCharacter">
    <w:name w:val="Основной шрифт абзаца, Знак Знак Знак Знак Знак Знак Знак Знак"/>
    <w:next w:val="NormalCharacter"/>
    <w:link w:val="UserStyle_0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1">
    <w:name w:val="Знак1 Знак Знак Знак Знак Знак Знак"/>
    <w:basedOn w:val="Normal"/>
    <w:next w:val="UserStyle_1"/>
    <w:link w:val="Normal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Hyperlink">
    <w:name w:val="Гиперссылка"/>
    <w:next w:val="Hyperlink"/>
    <w:link w:val="Normal"/>
    <w:rPr>
      <w:color w:val="000080"/>
      <w:u w:val="single"/>
      <w:lang w:val="en-US" w:eastAsia="en-US" w:bidi="en-US"/>
    </w:rPr>
  </w:style>
  <w:style w:type="paragraph" w:styleId="Header">
    <w:name w:val="Верхний колонтитул"/>
    <w:basedOn w:val="Normal"/>
    <w:next w:val="Header"/>
    <w:link w:val="Normal"/>
    <w:pPr>
      <w:widowControl w:val="off"/>
      <w:tabs>
        <w:tab w:val="center" w:pos="4677" w:leader="none"/>
        <w:tab w:val="right" w:pos="9355" w:leader="none"/>
      </w:tabs>
    </w:pPr>
    <w:rPr>
      <w:rFonts w:ascii="Liberation Serif" w:hAnsi="Liberation Serif" w:eastAsia="WenQuanYi Micro Hei" w:cs="Mangal"/>
      <w:szCs w:val="21"/>
      <w:lang w:eastAsia="zh-CN" w:bidi="hi-IN"/>
    </w:rPr>
  </w:style>
  <w:style w:type="character" w:styleId="Strong">
    <w:name w:val="Строгий"/>
    <w:next w:val="Strong"/>
    <w:link w:val="Normal"/>
    <w:qFormat/>
    <w:rPr>
      <w:b/>
      <w:bCs/>
    </w:r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</w:style>
  <w:style w:type="table" w:styleId="TableGrid">
    <w:name w:val="Сетка таблицы"/>
    <w:basedOn w:val="TableNormal"/>
    <w:next w:val="TableGrid"/>
    <w:link w:val="Normal"/>
  </w:style>
  <w:style w:type="paragraph" w:styleId="UserStyle_2">
    <w:name w:val="msonormal_mailru_css_attribute_postfix"/>
    <w:basedOn w:val="Normal"/>
    <w:next w:val="UserStyle_2"/>
    <w:link w:val="Normal"/>
    <w:pPr>
      <w:spacing w:before="100" w:beforeAutospacing="1" w:after="100" w:afterAutospacing="1"/>
    </w:pPr>
  </w:style>
  <w:style w:type="character" w:styleId="UserStyle_3">
    <w:name w:val="Нет"/>
    <w:next w:val="UserStyle_3"/>
    <w:link w:val="Normal"/>
  </w:style>
  <w:style w:type="character" w:styleId="UserStyle_4">
    <w:name w:val="Hyperlink.2"/>
    <w:next w:val="UserStyle_4"/>
    <w:link w:val="Normal"/>
    <w:rPr>
      <w:rFonts w:ascii="Times New Roman" w:hAnsi="Times New Roman" w:cs="Times New Roman"/>
      <w:color w:val="0000ff"/>
      <w:sz w:val="28"/>
      <w:szCs w:val="28"/>
      <w:u w:val="single"/>
    </w:rPr>
  </w:style>
  <w:style w:type="paragraph" w:styleId="UserStyle_0">
    <w:name w:val=" Знак Знак Знак Знак Знак Знак"/>
    <w:basedOn w:val="Normal"/>
    <w:next w:val="UserStyle_0"/>
    <w:link w:val="NormalCharacter"/>
    <w:pPr>
      <w:spacing w:after="160" w:line="240" w:lineRule="exact"/>
    </w:pPr>
    <w:rPr>
      <w:rFonts w:ascii="Verdana" w:hAnsi="Verdana"/>
      <w:lang w:val="en-US" w:eastAsia="en-US"/>
    </w:rPr>
  </w:style>
  <w:style w:type="paragraph" w:styleId="UserStyle_5">
    <w:name w:val="Default"/>
    <w:next w:val="UserStyle_5"/>
    <w:link w:val="Normal"/>
    <w:rPr>
      <w:rFonts w:ascii="Segoe UI" w:hAnsi="Segoe UI" w:cs="Segoe UI"/>
      <w:color w:val="000000"/>
      <w:sz w:val="24"/>
      <w:szCs w:val="24"/>
      <w:lang w:val="ru-RU" w:eastAsia="ru-RU" w:bidi="ar-SA"/>
    </w:rPr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paragraph" w:styleId="UserStyle_6">
    <w:name w:val="Знак"/>
    <w:basedOn w:val="Normal"/>
    <w:next w:val="UserStyle_6"/>
    <w:link w:val="Normal"/>
    <w:pPr>
      <w:spacing w:after="160" w:line="240" w:lineRule="exact"/>
    </w:pPr>
    <w:rPr>
      <w:rFonts w:ascii="Verdana" w:hAnsi="Verdana"/>
      <w:lang w:val="en-US" w:eastAsia="en-US"/>
    </w:rPr>
  </w:style>
  <w:style w:type="character" w:styleId="UserStyle_7">
    <w:name w:val="count"/>
    <w:basedOn w:val="NormalCharacter"/>
    <w:next w:val="UserStyle_7"/>
    <w:link w:val="Normal"/>
  </w:style>
  <w:style w:type="paragraph" w:styleId="BodyText">
    <w:name w:val="Основной текст"/>
    <w:basedOn w:val="Normal"/>
    <w:next w:val="BodyText"/>
    <w:link w:val="Normal"/>
    <w:pPr>
      <w:spacing w:line="360" w:lineRule="auto"/>
      <w:jc w:val="both"/>
    </w:pPr>
    <w:rPr>
      <w:sz w:val="28"/>
      <w:szCs w:val="20"/>
    </w:rPr>
  </w:style>
  <w:style w:type="paragraph" w:styleId="UserStyle_8">
    <w:name w:val="ConsPlusNormal"/>
    <w:next w:val="UserStyle_8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9">
    <w:name w:val="p10_0"/>
    <w:basedOn w:val="Normal"/>
    <w:next w:val="UserStyle_9"/>
    <w:link w:val="Normal"/>
    <w:pPr>
      <w:spacing w:before="100" w:beforeAutospacing="1" w:after="100" w:afterAutospacing="1"/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10">
    <w:name w:val="Знак Знак Знак Знак Знак Знак"/>
    <w:basedOn w:val="Normal"/>
    <w:next w:val="UserStyle_10"/>
    <w:link w:val="Normal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1715</Characters>
  <CharactersWithSpaces>2011</CharactersWithSpaces>
  <Company>DSR</Company>
  <DocSecurity>0</DocSecurity>
  <HyperlinksChanged>false</HyperlinksChanged>
  <Lines>14</Lines>
  <Pages>1</Pages>
  <Paragraphs>4</Paragraphs>
  <ScaleCrop>false</ScaleCrop>
  <SharedDoc>false</SharedDoc>
  <Template>Normal</Template>
  <Words>300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Анна</dc:creator>
  <cp:lastModifiedBy>Internet</cp:lastModifiedBy>
  <cp:revision>13</cp:revision>
  <dcterms:created xsi:type="dcterms:W3CDTF">2025-02-07T07:10:00Z</dcterms:created>
  <dcterms:modified xsi:type="dcterms:W3CDTF">2025-02-13T04:48:00Z</dcterms:modified>
  <cp:version>726502</cp:version>
</cp:coreProperties>
</file>