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21.08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61"/>
        <w:ind w:firstLine="708"/>
        <w:jc w:val="center"/>
        <w:spacing w:line="360" w:lineRule="auto"/>
        <w:rPr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Социальная догазификация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в С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амарской области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Самарской области полным ходом идет социальная догазификация домовладений, расположенных в границах садоводческих товариществ.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Самарский Росреестр активно взаимодействует с органами местного самоуправления, газоснабжающими организациями региона, представителями ре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гионального и местного отделений Союза садоводов России, председателями СНТ и гражданами по вопросам государственного кадастрового учета и государственной регистрации прав на земельные участки и жилые дома в целях создания юридических условий для возможног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 участия граждан в этой важной социальной программе.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 встречах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обсуждаются задачи по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реализации социальной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догазификации жилых домов в СНТ, в том числе вопросы по вовлечению в программу как можно большего количества заинтересованных в ней граждан.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  <w:t xml:space="preserve">Такое взаимодействие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 всех участников процесса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 догазификации позволяет видеть перспективность развития этого направления.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Также следует отметить уменьшение оплаты государственной пошлины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 для газоснабжающих организаций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за осуществляемые одновременно государственный кадастровый учет и государственную регистрацию прав на объекты сетей газораспределения и сетей газопотребления, созданные при выполнении мероприятий по подключению (технологическому присоединению) объектов кап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итального строительства.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С 31.08.2025г.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вступают в силу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t xml:space="preserve"> изменения в НК РФ, согласно которым государственная пошлина будет составлять 4 000 рублей за указанные учетно-регистрационные действия.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3"/>
    <w:uiPriority w:val="10"/>
    <w:rPr>
      <w:sz w:val="48"/>
      <w:szCs w:val="48"/>
    </w:rPr>
  </w:style>
  <w:style w:type="character" w:styleId="674">
    <w:name w:val="Subtitle Char"/>
    <w:basedOn w:val="691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character" w:styleId="677">
    <w:name w:val="Header Char"/>
    <w:basedOn w:val="691"/>
    <w:link w:val="711"/>
    <w:uiPriority w:val="99"/>
  </w:style>
  <w:style w:type="character" w:styleId="678">
    <w:name w:val="Caption Char"/>
    <w:basedOn w:val="715"/>
    <w:link w:val="713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  <w:style w:type="paragraph" w:styleId="863" w:customStyle="1">
    <w:name w:val="Обычный (веб)"/>
    <w:next w:val="66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Основной текст 3"/>
    <w:next w:val="666"/>
    <w:link w:val="6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53</cp:revision>
  <dcterms:created xsi:type="dcterms:W3CDTF">2025-04-09T05:40:00Z</dcterms:created>
  <dcterms:modified xsi:type="dcterms:W3CDTF">2025-08-21T06:18:21Z</dcterms:modified>
</cp:coreProperties>
</file>