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right"/>
        <w:spacing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22.12.2025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line="276" w:lineRule="auto"/>
        <w:rPr>
          <w:rFonts w:ascii="Tinos" w:hAnsi="Tinos" w:eastAsia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Механизм проверки законности сделок с недвижимостью.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eastAsia="Tinos" w:cs="Tinos"/>
          <w:b/>
          <w:bCs/>
          <w:sz w:val="28"/>
          <w:szCs w:val="28"/>
        </w:rPr>
      </w:r>
    </w:p>
    <w:p>
      <w:pPr>
        <w:jc w:val="center"/>
        <w:spacing w:line="276" w:lineRule="auto"/>
        <w:rPr>
          <w:rFonts w:ascii="Tinos" w:hAnsi="Tinos" w:eastAsia="Tinos" w:cs="Tinos"/>
          <w:b/>
          <w:bCs/>
          <w:color w:val="000000"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Росреестр разъясняет</w:t>
      </w:r>
      <w:r>
        <w:rPr>
          <w:rFonts w:ascii="Tinos" w:hAnsi="Tinos" w:eastAsia="Tinos" w:cs="Tinos"/>
          <w:b/>
          <w:bCs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360" w:lineRule="auto"/>
        <w:shd w:val="clear" w:color="ffffff" w:fill="ffffff"/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</w:rPr>
        <w:t xml:space="preserve">     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Как выглядит механизм правовой экспертизы сделок с недвижимостью, и какие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меры защиты имущественных прав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 предлагает Росреестр, сегодня вы узнаете из нашей статьи.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360" w:lineRule="auto"/>
        <w:shd w:val="clear" w:color="ffffff" w:fill="ffffff"/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       Основной закон, которым руководствуется государственный регистратор и на основании которого осуществляется регистрация прав, –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none"/>
        </w:rPr>
        <w:t xml:space="preserve">закон «О государственной регистрации недвижимости»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none"/>
        </w:rPr>
        <w:t xml:space="preserve">№218-ФЗ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. Все учетно-регистрационные действия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носят исключительно заявительный характер.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360" w:lineRule="auto"/>
        <w:shd w:val="clear" w:color="ffffff" w:fill="ffffff"/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       Всем заявителям, которые обращаются за услугами Росреестра, необходимо знать, что, осуществляя подачу документов на регистрацию, они подтверждают подлинность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указанных в заявлении сведений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, а также достоверность и подлинность приложенных документов. Важно знать, что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за представление поддельных документов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 возможно привлечение к ответственности, в том числе уголовной.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360" w:lineRule="auto"/>
        <w:shd w:val="clear" w:color="ffffff" w:fill="ffffff"/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      Поскольку документы на регистрацию поступают через МФЦ или в электронном виде, то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личное общение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сторон сделки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 с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госрегистратором не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предполагается.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Задача регистратора – экспертиза уже заключенного договора на соответствие требованиям законодательства.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360" w:lineRule="auto"/>
        <w:shd w:val="clear" w:color="ffffff" w:fill="ffffff"/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       Росреестр не проверяет психич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еское здоровье сторон сделки, а также не проводит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 криминалистическую экспертизу.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Согласно ст. 29 ГК РФ, суд может признать недееспособным человека, который из-за психического расстройства не понимает значения своих действий. В этом случае над ним устанавливается опека, а сделки от его имени совершает опек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ун. После того, как решение суда вступило в силу, в Росреестр поступает копия решения, а информация о признании человека недееспособным вносится в ЕГРН. Госрегистратор проверяет наличие этих сведений в ЕГРН и принимает решение по каждой конкретной сделке.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</w:p>
    <w:p>
      <w:pPr>
        <w:ind w:left="0" w:right="0" w:firstLine="425"/>
        <w:jc w:val="both"/>
        <w:spacing w:before="0" w:after="0" w:line="360" w:lineRule="auto"/>
        <w:shd w:val="clear" w:color="ffffff" w:fill="ffffff"/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Для подтверждения подлинности документов и достоверности сведений регистратор запрашивает дополнительную информацию в органах власти и организациях, издавших документы.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Если подтвердится, что представленный документ поддельный, информация об этом направляется в правоохранительные органы.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0" w:after="0" w:line="360" w:lineRule="auto"/>
        <w:shd w:val="clear" w:color="ffffff" w:fill="ffffff"/>
        <w:rPr>
          <w:rFonts w:ascii="Tinos" w:hAnsi="Tinos" w:eastAsia="Tinos" w:cs="Tinos"/>
          <w:color w:val="292c2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В качестве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меры защиты им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ущественных прав 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Росреестр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 предлагает:</w:t>
      </w:r>
      <w:r>
        <w:rPr>
          <w:rFonts w:ascii="Tinos" w:hAnsi="Tinos" w:eastAsia="Tinos" w:cs="Tinos"/>
          <w:color w:val="292c2f"/>
          <w:sz w:val="28"/>
          <w:szCs w:val="28"/>
        </w:rPr>
      </w:r>
      <w:r>
        <w:rPr>
          <w:rFonts w:ascii="Tinos" w:hAnsi="Tinos" w:eastAsia="Tinos" w:cs="Tinos"/>
          <w:color w:val="292c2f"/>
          <w:sz w:val="28"/>
          <w:szCs w:val="28"/>
        </w:rPr>
      </w:r>
    </w:p>
    <w:p>
      <w:pPr>
        <w:pStyle w:val="682"/>
        <w:numPr>
          <w:ilvl w:val="0"/>
          <w:numId w:val="5"/>
        </w:numPr>
        <w:ind w:right="0"/>
        <w:jc w:val="both"/>
        <w:spacing w:before="0" w:after="0" w:line="360" w:lineRule="auto"/>
        <w:shd w:val="clear" w:color="ffffff" w:fill="ffffff"/>
        <w:rPr>
          <w:rFonts w:ascii="Tinos" w:hAnsi="Tinos" w:eastAsia="Tinos" w:cs="Tinos"/>
          <w:color w:val="292c2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подать заявление о запрете регистрации сделок без личного участия собственника. Это можно сделать в личном кабинете на сайте Росреестра, на портале Госуслуг или в МФЦ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nos" w:hAnsi="Tinos" w:eastAsia="Tinos" w:cs="Tinos"/>
          <w:color w:val="292c2f"/>
          <w:sz w:val="28"/>
          <w:szCs w:val="28"/>
        </w:rPr>
      </w:r>
      <w:r>
        <w:rPr>
          <w:rFonts w:ascii="Tinos" w:hAnsi="Tinos" w:eastAsia="Tinos" w:cs="Tinos"/>
          <w:color w:val="292c2f"/>
          <w:sz w:val="28"/>
          <w:szCs w:val="28"/>
        </w:rPr>
      </w:r>
    </w:p>
    <w:p>
      <w:pPr>
        <w:pStyle w:val="682"/>
        <w:numPr>
          <w:ilvl w:val="0"/>
          <w:numId w:val="5"/>
        </w:numPr>
        <w:ind w:right="0"/>
        <w:jc w:val="both"/>
        <w:spacing w:before="0" w:after="0" w:line="360" w:lineRule="auto"/>
        <w:shd w:val="clear" w:color="ffffff" w:fill="ffffff"/>
        <w:rPr>
          <w:rFonts w:ascii="Tinos" w:hAnsi="Tinos" w:eastAsia="Tinos" w:cs="Tinos"/>
          <w:color w:val="292c2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до подачи документов на регистрацию проверить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наличие ограничений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арестов или запретов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 в отношении объектов недвижимого имущества.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Перед сделкой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заказывать выписки из ЕГРН только с помощью официального сайта Росреестра или портала Госуслуг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nos" w:hAnsi="Tinos" w:eastAsia="Tinos" w:cs="Tinos"/>
          <w:color w:val="292c2f"/>
          <w:sz w:val="28"/>
          <w:szCs w:val="28"/>
        </w:rPr>
      </w:r>
      <w:r>
        <w:rPr>
          <w:rFonts w:ascii="Tinos" w:hAnsi="Tinos" w:eastAsia="Tinos" w:cs="Tinos"/>
          <w:color w:val="292c2f"/>
          <w:sz w:val="28"/>
          <w:szCs w:val="28"/>
        </w:rPr>
      </w:r>
    </w:p>
    <w:p>
      <w:pPr>
        <w:pStyle w:val="682"/>
        <w:numPr>
          <w:ilvl w:val="0"/>
          <w:numId w:val="5"/>
        </w:numPr>
        <w:ind w:right="0"/>
        <w:jc w:val="both"/>
        <w:spacing w:before="0" w:after="0" w:line="360" w:lineRule="auto"/>
        <w:shd w:val="clear" w:color="ffffff" w:fill="ffffff"/>
        <w:rPr>
          <w:rFonts w:ascii="Tinos" w:hAnsi="Tinos" w:eastAsia="Tinos" w:cs="Tinos"/>
          <w:color w:val="292c2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внести в ЕГРН адрес своей электронной почты либо актуализировать его, если почта поменялась. Туда будут приходить все уведомления о совершающихся сделках и изменениях в отношении ваших объектов недвижимости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.</w:t>
      </w:r>
      <w:r>
        <w:rPr>
          <w:rFonts w:ascii="Tinos" w:hAnsi="Tinos" w:eastAsia="Tinos" w:cs="Tinos"/>
          <w:color w:val="292c2f"/>
          <w:sz w:val="28"/>
          <w:szCs w:val="28"/>
        </w:rPr>
      </w:r>
      <w:r>
        <w:rPr>
          <w:rFonts w:ascii="Tinos" w:hAnsi="Tinos" w:eastAsia="Tinos" w:cs="Tinos"/>
          <w:color w:val="292c2f"/>
          <w:sz w:val="28"/>
          <w:szCs w:val="28"/>
        </w:rPr>
      </w:r>
    </w:p>
    <w:p>
      <w:pPr>
        <w:ind w:left="0" w:right="0" w:firstLine="425"/>
        <w:jc w:val="both"/>
        <w:spacing w:before="0" w:after="0" w:line="360" w:lineRule="auto"/>
        <w:shd w:val="clear" w:color="ffffff" w:fill="ffffff"/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  <w:t xml:space="preserve">Важн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  <w:t xml:space="preserve">о знать!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Сотрудники Росреестра никогда не звонят собственникам с угрозами мошенничества или просьбами сообщить свои персональные данные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. При поступлении подобного звонка следует незамедлительно сообщить об этом в правоохранительные органы. 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360" w:lineRule="auto"/>
        <w:shd w:val="clear" w:color="ffffff" w:fill="ffffff"/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line="360" w:lineRule="auto"/>
        <w:shd w:val="clear" w:color="ffffff" w:fill="ffffff"/>
        <w:rPr>
          <w:rFonts w:ascii="Tinos" w:hAnsi="Tinos" w:cs="Tinos"/>
          <w:bCs/>
          <w:i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18511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15050" cy="63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nos" w:hAnsi="Tinos" w:cs="Tinos"/>
          <w:bCs/>
          <w:i/>
          <w:color w:val="000000" w:themeColor="text1"/>
          <w:sz w:val="28"/>
          <w:szCs w:val="28"/>
        </w:rPr>
      </w:r>
      <w:r>
        <w:rPr>
          <w:rFonts w:ascii="Tinos" w:hAnsi="Tinos" w:cs="Tinos"/>
          <w:bCs/>
          <w:i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Материал подготовлен пресс-службой 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line="276" w:lineRule="auto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eastAsia="Calibri" w:cs="Times New Roman"/>
          <w:sz w:val="24"/>
          <w:szCs w:val="24"/>
        </w:rPr>
        <w:t xml:space="preserve"> Росреестра по Самарской области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nos">
    <w:panose1 w:val="02020603050405020304"/>
  </w:font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5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4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42"/>
    <w:next w:val="842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basedOn w:val="843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42"/>
    <w:next w:val="842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basedOn w:val="843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42"/>
    <w:next w:val="842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basedOn w:val="843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42"/>
    <w:next w:val="842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basedOn w:val="843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42"/>
    <w:next w:val="842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basedOn w:val="843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42"/>
    <w:next w:val="842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basedOn w:val="843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42"/>
    <w:next w:val="842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basedOn w:val="843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42"/>
    <w:next w:val="842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basedOn w:val="843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42"/>
    <w:next w:val="842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basedOn w:val="843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List Paragraph"/>
    <w:basedOn w:val="842"/>
    <w:uiPriority w:val="34"/>
    <w:qFormat/>
    <w:pPr>
      <w:contextualSpacing/>
      <w:ind w:left="720"/>
    </w:pPr>
  </w:style>
  <w:style w:type="paragraph" w:styleId="683">
    <w:name w:val="No Spacing"/>
    <w:uiPriority w:val="1"/>
    <w:qFormat/>
    <w:pPr>
      <w:spacing w:before="0" w:after="0" w:line="240" w:lineRule="auto"/>
    </w:pPr>
  </w:style>
  <w:style w:type="paragraph" w:styleId="684">
    <w:name w:val="Title"/>
    <w:basedOn w:val="842"/>
    <w:next w:val="842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basedOn w:val="843"/>
    <w:link w:val="684"/>
    <w:uiPriority w:val="10"/>
    <w:rPr>
      <w:sz w:val="48"/>
      <w:szCs w:val="48"/>
    </w:rPr>
  </w:style>
  <w:style w:type="paragraph" w:styleId="686">
    <w:name w:val="Subtitle"/>
    <w:basedOn w:val="842"/>
    <w:next w:val="842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basedOn w:val="843"/>
    <w:link w:val="686"/>
    <w:uiPriority w:val="11"/>
    <w:rPr>
      <w:sz w:val="24"/>
      <w:szCs w:val="24"/>
    </w:rPr>
  </w:style>
  <w:style w:type="paragraph" w:styleId="688">
    <w:name w:val="Quote"/>
    <w:basedOn w:val="842"/>
    <w:next w:val="842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42"/>
    <w:next w:val="842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paragraph" w:styleId="692">
    <w:name w:val="Header"/>
    <w:basedOn w:val="842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Header Char"/>
    <w:basedOn w:val="843"/>
    <w:link w:val="692"/>
    <w:uiPriority w:val="99"/>
  </w:style>
  <w:style w:type="paragraph" w:styleId="694">
    <w:name w:val="Footer"/>
    <w:basedOn w:val="842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Footer Char"/>
    <w:basedOn w:val="843"/>
    <w:link w:val="694"/>
    <w:uiPriority w:val="99"/>
  </w:style>
  <w:style w:type="paragraph" w:styleId="696">
    <w:name w:val="Caption"/>
    <w:basedOn w:val="842"/>
    <w:next w:val="8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>
    <w:name w:val="Caption Char"/>
    <w:basedOn w:val="696"/>
    <w:link w:val="694"/>
    <w:uiPriority w:val="99"/>
  </w:style>
  <w:style w:type="table" w:styleId="698">
    <w:name w:val="Table Grid"/>
    <w:basedOn w:val="84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Table Grid Light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8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9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0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1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2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3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5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9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2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3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4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5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6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7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4">
    <w:name w:val="Hyperlink"/>
    <w:uiPriority w:val="99"/>
    <w:unhideWhenUsed/>
    <w:rPr>
      <w:color w:val="0000ff" w:themeColor="hyperlink"/>
      <w:u w:val="single"/>
    </w:rPr>
  </w:style>
  <w:style w:type="paragraph" w:styleId="825">
    <w:name w:val="footnote text"/>
    <w:basedOn w:val="842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basedOn w:val="843"/>
    <w:uiPriority w:val="99"/>
    <w:unhideWhenUsed/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basedOn w:val="843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qFormat/>
  </w:style>
  <w:style w:type="character" w:styleId="843" w:default="1">
    <w:name w:val="Default Paragraph Font"/>
    <w:uiPriority w:val="1"/>
    <w:semiHidden/>
    <w:unhideWhenUsed/>
  </w:style>
  <w:style w:type="table" w:styleId="8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5" w:default="1">
    <w:name w:val="No List"/>
    <w:uiPriority w:val="99"/>
    <w:semiHidden/>
    <w:unhideWhenUsed/>
  </w:style>
  <w:style w:type="paragraph" w:styleId="846">
    <w:name w:val="Balloon Text"/>
    <w:basedOn w:val="842"/>
    <w:link w:val="84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7" w:customStyle="1">
    <w:name w:val="Текст выноски Знак"/>
    <w:basedOn w:val="843"/>
    <w:link w:val="84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reg.samregistr.ru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revision>18</cp:revision>
  <dcterms:created xsi:type="dcterms:W3CDTF">2024-09-30T06:51:00Z</dcterms:created>
  <dcterms:modified xsi:type="dcterms:W3CDTF">2025-12-19T10:27:01Z</dcterms:modified>
</cp:coreProperties>
</file>