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23.12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2c2d2e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  <w:t xml:space="preserve">В ЕГРН стали вносить сведения о членах семьи </w:t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nos" w:hAnsi="Tinos" w:eastAsia="Tinos" w:cs="Tinos"/>
          <w:b/>
          <w:bCs/>
          <w:color w:val="2c2d2e"/>
          <w:sz w:val="28"/>
          <w:szCs w:val="28"/>
        </w:rPr>
        <w:t xml:space="preserve">собственника жилого помещения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after="0" w:afterAutospacing="0" w:line="360" w:lineRule="auto"/>
        <w:rPr>
          <w:rFonts w:ascii="Tinos" w:hAnsi="Tinos" w:eastAsia="Tinos" w:cs="Tinos"/>
          <w:color w:val="2c2d2e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</w:r>
    </w:p>
    <w:p>
      <w:pPr>
        <w:ind w:left="0" w:right="0" w:firstLine="567"/>
        <w:jc w:val="both"/>
        <w:spacing w:before="0" w:after="0" w:afterAutospacing="0" w:line="360" w:lineRule="auto"/>
        <w:rPr>
          <w:rFonts w:ascii="Tinos" w:hAnsi="Tinos" w:eastAsia="Tinos" w:cs="Tinos"/>
          <w:color w:val="2c2d2e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Самарский Росреестр продолжает проводить обучающие онлайн-семинары для сотрудников МФЦ. Заместитель отдела регистрации ипотеки </w:t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  <w:t xml:space="preserve">Валерия Корнилова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 познакомила специалистов многофункционального центра с  нововведениями  законодательства в сфере жилой недвижимости.</w:t>
      </w:r>
      <w:r>
        <w:rPr>
          <w:rFonts w:ascii="Tinos" w:hAnsi="Tinos" w:eastAsia="Tinos" w:cs="Tinos"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</w:r>
    </w:p>
    <w:p>
      <w:pPr>
        <w:ind w:left="0" w:right="0" w:firstLine="567"/>
        <w:jc w:val="both"/>
        <w:spacing w:before="0" w:after="0" w:afterAutospacing="0" w:line="36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В частности, спикер рассказала, что с 1 сентября 20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25 г. в ЕГРН начали вносить сведения о членах семьи (в т.ч. бывших) собственника жилого помещения, право собственности на которое возникло в результате приватизации, либо в связи с полной выплатой паевого взноса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членом жилищного кооператива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.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after="0" w:afterAutospacing="0" w:line="360" w:lineRule="auto"/>
        <w:shd w:val="clear" w:color="ffffff" w:fill="ffffff"/>
        <w:rPr>
          <w:rFonts w:ascii="Tinos" w:hAnsi="Tinos" w:eastAsia="Tinos" w:cs="Tinos"/>
          <w:color w:val="2c2d2e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В ЕГРН включаются сведения о гражданах, которые пользуются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 жилым помещением и имели в момент приватизации равные права пользования с лицом его приватизировавшим, либо которые в момент полной выплаты паевого взноса были указаны в ордере, либо были вселены в жилое помещение в качестве членов семьи собственника. </w:t>
      </w:r>
      <w:r>
        <w:rPr>
          <w:rFonts w:ascii="Tinos" w:hAnsi="Tinos" w:eastAsia="Tinos" w:cs="Tinos"/>
          <w:color w:val="2c2d2e"/>
          <w:sz w:val="24"/>
          <w:szCs w:val="24"/>
          <w:highlight w:val="none"/>
        </w:rPr>
      </w:r>
      <w:r>
        <w:rPr>
          <w:rFonts w:ascii="Tinos" w:hAnsi="Tinos" w:eastAsia="Tinos" w:cs="Tinos"/>
          <w:color w:val="2c2d2e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Сведения вносятся на основании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совместного заявления собственника и  члена его семьи, либо на основании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решения суда. 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Если помещение находится в общей долевой собственности, заявление подают все сособственники. 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К заявлению необходимо приложить один из документов: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-договор приватизации; 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-ордер на жилое помещение, предоставленное на основании решения общего собрания членов жилищно-строительного кооператива; 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-решение общего собрания членов кооператива о предоставлении жилого помещения или о вселении в него; 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-решение суда, подтверждающее право пользования жилым помещением. 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Подать заявление можно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через любой офис МФЦ.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Срок внесения сведений в ЕГРН не более 5 рабочих дней с даты поступления заявления и приложенных документов. 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Государственная пошлина за услугу не взимается. 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567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  <w:t xml:space="preserve">Сведения о членах семьи будут отражаться во втором разделе выписки из ЕГРН - об объекте недвижимости, основных характеристиках и зарегистрированных правах на объект недвижимости. 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360" w:lineRule="auto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1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1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1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1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1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1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42</cp:revision>
  <dcterms:created xsi:type="dcterms:W3CDTF">2023-09-10T13:11:00Z</dcterms:created>
  <dcterms:modified xsi:type="dcterms:W3CDTF">2025-12-19T06:49:03Z</dcterms:modified>
</cp:coreProperties>
</file>