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CA" w:rsidRDefault="00DB14CA" w:rsidP="00DB14CA">
      <w:pPr>
        <w:pStyle w:val="a3"/>
      </w:pPr>
      <w:proofErr w:type="gramStart"/>
      <w:r>
        <w:t xml:space="preserve">28 мая 2021 года состоялось первое заседание конкурсной комиссии по отбору проектов инициативного бюджетирования, на котором были рассмотрены проекты по устройству централизованного водопровода в с. Грачевка, модернизации водонапорной башни в с. Тростянка, проектированию автомобильной дороги от автодороги «Самара-Бугуруслан» до пос. Свободный, устройству пандуса на центральном входе ГБОУ СОШ с. </w:t>
      </w:r>
      <w:proofErr w:type="spellStart"/>
      <w:r>
        <w:t>Бузаевка</w:t>
      </w:r>
      <w:proofErr w:type="spellEnd"/>
      <w:r>
        <w:t xml:space="preserve"> и оснащению мебелью Центра „Точка роста“ в ГБОУ СОШ с</w:t>
      </w:r>
      <w:proofErr w:type="gramEnd"/>
      <w:r>
        <w:t xml:space="preserve">. Малая </w:t>
      </w:r>
      <w:proofErr w:type="spellStart"/>
      <w:r>
        <w:t>Малышевка</w:t>
      </w:r>
      <w:proofErr w:type="spellEnd"/>
      <w:r>
        <w:t>, относящиеся к вопросам местного значения.</w:t>
      </w:r>
    </w:p>
    <w:p w:rsidR="00DB14CA" w:rsidRDefault="00DB14CA" w:rsidP="00DB14CA">
      <w:pPr>
        <w:pStyle w:val="a3"/>
      </w:pPr>
      <w:r>
        <w:t xml:space="preserve">По итогам конкурса в селах Малая </w:t>
      </w:r>
      <w:proofErr w:type="spellStart"/>
      <w:r>
        <w:t>Малышевка</w:t>
      </w:r>
      <w:proofErr w:type="spellEnd"/>
      <w:r>
        <w:t xml:space="preserve">, </w:t>
      </w:r>
      <w:proofErr w:type="spellStart"/>
      <w:r>
        <w:t>Бузаевка</w:t>
      </w:r>
      <w:proofErr w:type="spellEnd"/>
      <w:r>
        <w:t>, Грачевка, Тростянка и пос. </w:t>
      </w:r>
      <w:proofErr w:type="gramStart"/>
      <w:r>
        <w:t>Свободный</w:t>
      </w:r>
      <w:proofErr w:type="gramEnd"/>
      <w:r>
        <w:t xml:space="preserve"> до конца года будут реализованы следующие инициативы жителей:</w:t>
      </w:r>
    </w:p>
    <w:p w:rsidR="00DB14CA" w:rsidRDefault="00DB14CA" w:rsidP="00DB14CA">
      <w:pPr>
        <w:pStyle w:val="a3"/>
      </w:pPr>
      <w:r>
        <w:rPr>
          <w:b/>
          <w:bCs/>
        </w:rPr>
        <w:t xml:space="preserve">Малая </w:t>
      </w:r>
      <w:proofErr w:type="spellStart"/>
      <w:r>
        <w:rPr>
          <w:b/>
          <w:bCs/>
        </w:rPr>
        <w:t>Малышевка</w:t>
      </w:r>
      <w:proofErr w:type="spellEnd"/>
      <w:r>
        <w:t>: оснащение мебелью Центра «Точка роста» в ГБОУ СОШ </w:t>
      </w:r>
      <w:proofErr w:type="gramStart"/>
      <w:r>
        <w:t>с</w:t>
      </w:r>
      <w:proofErr w:type="gramEnd"/>
      <w:r>
        <w:t xml:space="preserve">. Малая </w:t>
      </w:r>
      <w:proofErr w:type="spellStart"/>
      <w:r>
        <w:t>Малышевка</w:t>
      </w:r>
      <w:proofErr w:type="spellEnd"/>
      <w:r>
        <w:t>.</w:t>
      </w:r>
    </w:p>
    <w:p w:rsidR="00DB14CA" w:rsidRDefault="00DB14CA" w:rsidP="00DB14CA">
      <w:pPr>
        <w:pStyle w:val="consplusnonformat"/>
      </w:pPr>
      <w:r>
        <w:t>В сентябре 2021 года в рамках федерального проекта «Современная школа» нацпроекта „Образование“ на базе ГБОУ СОШ 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</w:t>
      </w:r>
      <w:proofErr w:type="spellStart"/>
      <w:r>
        <w:t>Малышевка</w:t>
      </w:r>
      <w:proofErr w:type="spellEnd"/>
      <w:r>
        <w:t xml:space="preserve"> планируется открытие Центра образования естественно-научной и технологической направленностей „Точка роста“. </w:t>
      </w:r>
    </w:p>
    <w:p w:rsidR="00DB14CA" w:rsidRDefault="00DB14CA" w:rsidP="00DB14CA">
      <w:pPr>
        <w:pStyle w:val="a3"/>
      </w:pPr>
      <w:r>
        <w:t>Целями создания Центра «Точка роста» является совершенствование условий для повышения качества обучения по предметам </w:t>
      </w:r>
      <w:proofErr w:type="gramStart"/>
      <w:r>
        <w:t>естественно-научной</w:t>
      </w:r>
      <w:proofErr w:type="gramEnd"/>
      <w:r>
        <w:t xml:space="preserve"> и технологической направленностей, а также для практической отработки учебного материала по физике, химии, биологии и информатике.</w:t>
      </w:r>
    </w:p>
    <w:p w:rsidR="00DB14CA" w:rsidRDefault="00DB14CA" w:rsidP="00DB14CA">
      <w:pPr>
        <w:pStyle w:val="consplusnonformat"/>
      </w:pPr>
      <w:r>
        <w:t>В первой половине дня в обновленных классах, оснащенных современным оборудованием, планируется проведение предметных уроков. Во второй половине дня классы будут функционировать как общественные пространства для занятий робототехникой, для создания и воплощения проектов, для творческой реализации, причем не только детей, но и их родителей и педагогов.</w:t>
      </w:r>
    </w:p>
    <w:p w:rsidR="00DB14CA" w:rsidRDefault="00DB14CA" w:rsidP="00DB14CA">
      <w:pPr>
        <w:pStyle w:val="a3"/>
      </w:pPr>
      <w:r>
        <w:t xml:space="preserve">Затраты на приобретение учебного оборудования, в том числе расходных материалов, на реализацию образовательных программ, а также оплату труда педагогических работников, обеспечивающих функционирование Центра «Точка роста», будут осуществляться из бюджетных средств на основании приказа </w:t>
      </w:r>
      <w:proofErr w:type="spellStart"/>
      <w:r>
        <w:t>Минпросвещения</w:t>
      </w:r>
      <w:proofErr w:type="spellEnd"/>
      <w:r>
        <w:t xml:space="preserve"> России от 20 ноября 2018 г. № 235.</w:t>
      </w:r>
    </w:p>
    <w:p w:rsidR="00DB14CA" w:rsidRDefault="00DB14CA" w:rsidP="00DB14CA">
      <w:pPr>
        <w:pStyle w:val="a3"/>
      </w:pPr>
      <w:r>
        <w:t xml:space="preserve">Ремонт учебных кабинетов будет осуществлен в рамках районной муниципальной программы «Ремонт, строительство и реконструкция зданий школ и детских садов, расположенных на территории муниципального района </w:t>
      </w:r>
      <w:proofErr w:type="spellStart"/>
      <w:r>
        <w:t>Кинельский</w:t>
      </w:r>
      <w:proofErr w:type="spellEnd"/>
      <w:r>
        <w:t>».</w:t>
      </w:r>
    </w:p>
    <w:p w:rsidR="00DB14CA" w:rsidRDefault="00DB14CA" w:rsidP="00DB14CA">
      <w:pPr>
        <w:pStyle w:val="consplusnonformat"/>
      </w:pPr>
      <w:r>
        <w:t>Но для полноценного функционирования кабинетов требуется использование специализированной мебели для организации рабочих мест обучающихся и учителей. Также существует потребность в приобретении мебели для правильного и рационального хранения и размещения учебного оборудования, приспособлений для оформления интерьеров учебного помещения. С этой целью инициативной группой был разработан данный проект по оснащению мебелью Центра «Точка роста».</w:t>
      </w:r>
    </w:p>
    <w:p w:rsidR="00DB14CA" w:rsidRDefault="00DB14CA" w:rsidP="00DB14CA">
      <w:pPr>
        <w:pStyle w:val="consplusnonformat"/>
      </w:pPr>
      <w:r>
        <w:t>По завершению реализации проекта в ГБОУ СОШ 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</w:t>
      </w:r>
      <w:proofErr w:type="spellStart"/>
      <w:r>
        <w:t>Малышевка</w:t>
      </w:r>
      <w:proofErr w:type="spellEnd"/>
      <w:r>
        <w:t xml:space="preserve"> будут функционировать три учебных кабинета соответствующих всем современным требованиям.</w:t>
      </w:r>
    </w:p>
    <w:p w:rsidR="00DB14CA" w:rsidRDefault="00DB14CA" w:rsidP="00DB14CA">
      <w:pPr>
        <w:pStyle w:val="a3"/>
      </w:pPr>
      <w:proofErr w:type="spellStart"/>
      <w:r>
        <w:rPr>
          <w:b/>
          <w:bCs/>
        </w:rPr>
        <w:lastRenderedPageBreak/>
        <w:t>Бузаевка</w:t>
      </w:r>
      <w:proofErr w:type="spellEnd"/>
      <w:r>
        <w:t xml:space="preserve">: устройство пандуса на центральном входе ГБОУ СОШ с. </w:t>
      </w:r>
      <w:proofErr w:type="spellStart"/>
      <w:r>
        <w:t>Бузаевка</w:t>
      </w:r>
      <w:proofErr w:type="spellEnd"/>
      <w:r>
        <w:t>, который обеспечит равный доступ в учреждение маломобильных групп граждан (инвалидов, лиц преклонного возраста и других, испытывающих трудности при передвижении).</w:t>
      </w:r>
    </w:p>
    <w:p w:rsidR="00DB14CA" w:rsidRDefault="00DB14CA" w:rsidP="00DB14CA">
      <w:pPr>
        <w:pStyle w:val="a3"/>
      </w:pPr>
      <w:r>
        <w:rPr>
          <w:b/>
          <w:bCs/>
        </w:rPr>
        <w:t>Грачевка</w:t>
      </w:r>
      <w:r>
        <w:t xml:space="preserve">: устройство централизованного водопровода, который станет действенным стимулом дальнейшего развития территории, потому имеет высокую социальную </w:t>
      </w:r>
      <w:proofErr w:type="gramStart"/>
      <w:r>
        <w:t>значимость</w:t>
      </w:r>
      <w:proofErr w:type="gramEnd"/>
      <w:r>
        <w:t xml:space="preserve"> и актуальность для жителей села Грачевка.</w:t>
      </w:r>
    </w:p>
    <w:p w:rsidR="00DB14CA" w:rsidRDefault="00DB14CA" w:rsidP="00DB14CA">
      <w:pPr>
        <w:pStyle w:val="a3"/>
      </w:pPr>
      <w:r>
        <w:rPr>
          <w:b/>
          <w:bCs/>
        </w:rPr>
        <w:t>Тростянка</w:t>
      </w:r>
      <w:r>
        <w:t xml:space="preserve">: модернизация водонапорной башни </w:t>
      </w:r>
      <w:proofErr w:type="gramStart"/>
      <w:r>
        <w:t>в</w:t>
      </w:r>
      <w:proofErr w:type="gramEnd"/>
      <w:r>
        <w:t> </w:t>
      </w:r>
      <w:proofErr w:type="gramStart"/>
      <w:r>
        <w:t>с</w:t>
      </w:r>
      <w:proofErr w:type="gramEnd"/>
      <w:r>
        <w:t>. Тростянка», которая позволит сократить потери воды из-за частых утечек и более рационально использовать природные ресурсы и финансовые средства.</w:t>
      </w:r>
    </w:p>
    <w:p w:rsidR="00DB14CA" w:rsidRDefault="00DB14CA" w:rsidP="00DB14CA">
      <w:pPr>
        <w:pStyle w:val="a3"/>
      </w:pPr>
      <w:proofErr w:type="gramStart"/>
      <w:r>
        <w:rPr>
          <w:b/>
          <w:bCs/>
        </w:rPr>
        <w:t>Свободный</w:t>
      </w:r>
      <w:proofErr w:type="gramEnd"/>
      <w:r>
        <w:t>: разработка проекта автомобильной дороги от автодороги «Самара-Бугуруслан» до пос. Свободный.</w:t>
      </w:r>
    </w:p>
    <w:p w:rsidR="00DB14CA" w:rsidRDefault="00DB14CA" w:rsidP="00DB14CA">
      <w:pPr>
        <w:pStyle w:val="a3"/>
      </w:pPr>
      <w:r>
        <w:t>Так как строительство автодороги невозможно осуществить без участия бюджетных средств, а привлечение государственной поддержки возможно только при наличии соответствующей проектно-сметной документации, прошедшей государственную экспертизу, разработка проекта автодороги станет реальным шансом получения бюджетных средств и начала строительства автодороги.</w:t>
      </w:r>
    </w:p>
    <w:p w:rsidR="00DB14CA" w:rsidRDefault="00DB14CA" w:rsidP="00DB14CA">
      <w:pPr>
        <w:pStyle w:val="a3"/>
      </w:pPr>
      <w:r>
        <w:t> </w:t>
      </w:r>
    </w:p>
    <w:p w:rsidR="00DB14CA" w:rsidRDefault="00DB14CA" w:rsidP="00DB14CA">
      <w:pPr>
        <w:pStyle w:val="a3"/>
      </w:pPr>
      <w:r>
        <w:t>Напомним, суть инициативного бюджетирования заключается в самостоятельном определении жителями района наиболее насущных проблем, выдвижении идей по их решению и </w:t>
      </w:r>
      <w:proofErr w:type="gramStart"/>
      <w:r>
        <w:t>контролю за</w:t>
      </w:r>
      <w:proofErr w:type="gramEnd"/>
      <w:r>
        <w:t> расходованием средств и качеством выполнения работ.</w:t>
      </w:r>
    </w:p>
    <w:p w:rsidR="00DB14CA" w:rsidRDefault="00DB14CA" w:rsidP="00DB14CA">
      <w:pPr>
        <w:pStyle w:val="a3"/>
      </w:pPr>
      <w:r>
        <w:t>Такой подход позволит максимально эффективно расходовать бюджетные средства и привлекать инициативных граждан к решению вопросов местного значения.</w:t>
      </w:r>
    </w:p>
    <w:p w:rsidR="00DB14CA" w:rsidRDefault="00DB14CA" w:rsidP="00DB14CA">
      <w:pPr>
        <w:pStyle w:val="a3"/>
      </w:pPr>
      <w:r>
        <w:t xml:space="preserve">С более подробной информацией об инициативных проектах, победивших в конкурсе, можно ознакомиться на сайте муниципального района </w:t>
      </w:r>
      <w:proofErr w:type="spellStart"/>
      <w:r>
        <w:t>Кинельский</w:t>
      </w:r>
      <w:proofErr w:type="spellEnd"/>
      <w:r>
        <w:t xml:space="preserve"> https://www.kinel.ru в разделе «</w:t>
      </w:r>
      <w:proofErr w:type="gramStart"/>
      <w:r>
        <w:t>Инициативное</w:t>
      </w:r>
      <w:proofErr w:type="gramEnd"/>
      <w:r>
        <w:t xml:space="preserve"> бюджетирование».</w:t>
      </w:r>
    </w:p>
    <w:p w:rsidR="00F0679B" w:rsidRDefault="00F0679B">
      <w:bookmarkStart w:id="0" w:name="_GoBack"/>
      <w:bookmarkEnd w:id="0"/>
    </w:p>
    <w:sectPr w:rsidR="00F0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CA"/>
    <w:rsid w:val="00DB14CA"/>
    <w:rsid w:val="00F0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B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B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2022-04-28T10:21:00Z</dcterms:created>
  <dcterms:modified xsi:type="dcterms:W3CDTF">2022-04-28T10:22:00Z</dcterms:modified>
</cp:coreProperties>
</file>