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5" w:rsidRDefault="008C3F15" w:rsidP="008C3F15">
      <w:pPr>
        <w:widowControl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АДМИНИСТРАЦИЯ</w:t>
      </w:r>
    </w:p>
    <w:p w:rsidR="008C3F15" w:rsidRDefault="008C3F15" w:rsidP="008C3F15">
      <w:pPr>
        <w:widowControl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сельского   поселения</w:t>
      </w:r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муниципального района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Самарской области</w:t>
      </w:r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ind w:right="567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     ПОСТАНОВЛЕНИЕ</w:t>
      </w:r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C3F15" w:rsidRDefault="008C3F15" w:rsidP="008C3F15">
      <w:pPr>
        <w:widowControl/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от  12.11.2018 г. № 200</w:t>
      </w:r>
    </w:p>
    <w:p w:rsidR="008C3F15" w:rsidRDefault="008C3F15" w:rsidP="008C3F15">
      <w:pPr>
        <w:autoSpaceDE w:val="0"/>
        <w:spacing w:line="200" w:lineRule="atLeast"/>
        <w:ind w:right="5102"/>
        <w:rPr>
          <w:rFonts w:eastAsia="Times New Roman" w:cs="Times New Roman"/>
          <w:b/>
          <w:bCs/>
          <w:sz w:val="28"/>
          <w:lang w:eastAsia="ru-RU"/>
        </w:rPr>
      </w:pPr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 xml:space="preserve">«Об утверждении муниципальной программы </w:t>
      </w:r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>«По  профилактике правонарушений</w:t>
      </w:r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>и обеспечению общественной безопасности</w:t>
      </w:r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 xml:space="preserve">в сельском поселении </w:t>
      </w:r>
      <w:proofErr w:type="spellStart"/>
      <w:r>
        <w:rPr>
          <w:rFonts w:eastAsia="Times New Roman" w:cs="Times New Roman"/>
          <w:bCs/>
          <w:sz w:val="28"/>
          <w:lang w:eastAsia="ru-RU"/>
        </w:rPr>
        <w:t>Кинельский</w:t>
      </w:r>
      <w:proofErr w:type="spellEnd"/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bCs/>
          <w:sz w:val="28"/>
          <w:lang w:eastAsia="ru-RU"/>
        </w:rPr>
        <w:t>Кинельский</w:t>
      </w:r>
      <w:proofErr w:type="spellEnd"/>
    </w:p>
    <w:p w:rsidR="008C3F15" w:rsidRDefault="008C3F15" w:rsidP="008C3F15">
      <w:pPr>
        <w:autoSpaceDE w:val="0"/>
        <w:spacing w:line="200" w:lineRule="atLeast"/>
        <w:jc w:val="both"/>
        <w:rPr>
          <w:rFonts w:eastAsia="Times New Roman" w:cs="Times New Roman"/>
          <w:bCs/>
          <w:sz w:val="28"/>
          <w:lang w:eastAsia="ru-RU"/>
        </w:rPr>
      </w:pPr>
      <w:r>
        <w:rPr>
          <w:rFonts w:eastAsia="Times New Roman" w:cs="Times New Roman"/>
          <w:bCs/>
          <w:sz w:val="28"/>
          <w:lang w:eastAsia="ru-RU"/>
        </w:rPr>
        <w:t>Самарской области на 2019-2021 годы»</w:t>
      </w:r>
    </w:p>
    <w:p w:rsidR="008C3F15" w:rsidRDefault="008C3F15" w:rsidP="008C3F15">
      <w:pPr>
        <w:autoSpaceDE w:val="0"/>
        <w:spacing w:line="200" w:lineRule="atLeast"/>
        <w:jc w:val="both"/>
        <w:rPr>
          <w:sz w:val="28"/>
          <w:szCs w:val="28"/>
        </w:rPr>
      </w:pPr>
    </w:p>
    <w:p w:rsidR="008C3F15" w:rsidRDefault="008C3F15" w:rsidP="008C3F1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Постановлением Администрации сельского поселения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15.06.2015 года № 43 «Об утверждении  порядка  разработки, утверждения,  реализации и оценке эффективности муниципальных программ сельского поселения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области», а также</w:t>
      </w:r>
      <w:proofErr w:type="gramEnd"/>
      <w:r>
        <w:rPr>
          <w:sz w:val="28"/>
          <w:szCs w:val="28"/>
        </w:rPr>
        <w:t xml:space="preserve"> в целях обеспечения общественной безопасности и правопорядка в сельском поселении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8C3F15" w:rsidRDefault="008C3F15" w:rsidP="008C3F15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8C3F15" w:rsidRDefault="008C3F15" w:rsidP="008C3F15">
      <w:pPr>
        <w:shd w:val="clear" w:color="auto" w:fill="FFFFFF"/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ПОСТАНОВЛЯЕТ</w:t>
      </w:r>
      <w:r>
        <w:rPr>
          <w:rFonts w:eastAsia="Times New Roman" w:cs="Times New Roman" w:hint="cs"/>
          <w:sz w:val="28"/>
          <w:szCs w:val="28"/>
          <w:lang w:val="he-IL" w:bidi="he-IL"/>
        </w:rPr>
        <w:t>:</w:t>
      </w:r>
    </w:p>
    <w:p w:rsidR="008C3F15" w:rsidRDefault="008C3F15" w:rsidP="008C3F15">
      <w:pPr>
        <w:shd w:val="clear" w:color="auto" w:fill="FFFFFF"/>
        <w:ind w:firstLine="709"/>
        <w:jc w:val="center"/>
        <w:rPr>
          <w:rFonts w:eastAsia="Times New Roman" w:cs="Times New Roman"/>
          <w:sz w:val="28"/>
          <w:szCs w:val="28"/>
        </w:rPr>
      </w:pPr>
    </w:p>
    <w:p w:rsidR="008C3F15" w:rsidRDefault="008C3F15" w:rsidP="008C3F1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 Утвердить прилагаемую муниципальную программу «</w:t>
      </w:r>
      <w:r>
        <w:rPr>
          <w:bCs/>
          <w:sz w:val="28"/>
          <w:szCs w:val="28"/>
        </w:rPr>
        <w:t xml:space="preserve">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sz w:val="28"/>
          <w:szCs w:val="28"/>
        </w:rPr>
        <w:t>Кинельский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Кинельский</w:t>
      </w:r>
      <w:proofErr w:type="spellEnd"/>
      <w:r>
        <w:rPr>
          <w:bCs/>
          <w:sz w:val="28"/>
          <w:szCs w:val="28"/>
        </w:rPr>
        <w:t xml:space="preserve"> Самарской области на 2019-2021 годы»</w:t>
      </w:r>
      <w:r>
        <w:rPr>
          <w:rFonts w:eastAsia="Times New Roman" w:cs="Times New Roman"/>
          <w:sz w:val="28"/>
          <w:szCs w:val="28"/>
          <w:lang w:eastAsia="ru-RU"/>
        </w:rPr>
        <w:t xml:space="preserve"> (Приложение № 1 к постановлению).</w:t>
      </w:r>
    </w:p>
    <w:p w:rsidR="008C3F15" w:rsidRDefault="008C3F15" w:rsidP="008C3F1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Утвердить перечень мероприятий п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о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 w:cs="Times New Roman"/>
          <w:bCs/>
          <w:sz w:val="28"/>
          <w:szCs w:val="28"/>
          <w:lang w:eastAsia="ru-RU"/>
        </w:rPr>
        <w:t xml:space="preserve"> Самарской области на 2019-2021 годы </w:t>
      </w:r>
      <w:r>
        <w:rPr>
          <w:rFonts w:eastAsia="Times New Roman" w:cs="Times New Roman"/>
          <w:sz w:val="28"/>
          <w:szCs w:val="28"/>
          <w:lang w:eastAsia="ru-RU"/>
        </w:rPr>
        <w:t>(Приложение № 1 к программе).</w:t>
      </w:r>
    </w:p>
    <w:p w:rsidR="008C3F15" w:rsidRDefault="008C3F15" w:rsidP="008C3F1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опубликования, но не ранее 01.01.2019 года.</w:t>
      </w:r>
    </w:p>
    <w:p w:rsidR="008C3F15" w:rsidRDefault="008C3F15" w:rsidP="008C3F1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Опубликовать настоящее Постановление в газете «Вестник»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8C3F15" w:rsidRDefault="008C3F15" w:rsidP="008C3F1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eastAsia="Times New Roman" w:cs="Times New Roman"/>
          <w:sz w:val="28"/>
          <w:szCs w:val="28"/>
          <w:lang w:eastAsia="ru-RU"/>
        </w:rPr>
        <w:tab/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C3F15" w:rsidRDefault="008C3F15" w:rsidP="008C3F15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Самарской области                                                               И.Р.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Галиев</w:t>
      </w:r>
      <w:proofErr w:type="spellEnd"/>
    </w:p>
    <w:p w:rsidR="008C3F15" w:rsidRDefault="008C3F15" w:rsidP="008C3F15">
      <w:pPr>
        <w:rPr>
          <w:rFonts w:eastAsia="Times New Roman" w:cs="Times New Roman"/>
          <w:sz w:val="28"/>
          <w:szCs w:val="28"/>
          <w:lang w:eastAsia="ru-RU"/>
        </w:rPr>
      </w:pPr>
    </w:p>
    <w:p w:rsidR="008C3F15" w:rsidRDefault="008C3F15" w:rsidP="008C3F15">
      <w:pPr>
        <w:widowControl/>
        <w:suppressAutoHyphens w:val="0"/>
        <w:rPr>
          <w:rFonts w:eastAsia="Times New Roman" w:cs="Times New Roman"/>
          <w:sz w:val="28"/>
          <w:szCs w:val="28"/>
          <w:lang w:eastAsia="ru-RU"/>
        </w:rPr>
        <w:sectPr w:rsidR="008C3F15">
          <w:pgSz w:w="11906" w:h="16838"/>
          <w:pgMar w:top="1134" w:right="850" w:bottom="1134" w:left="1276" w:header="708" w:footer="708" w:gutter="0"/>
          <w:cols w:space="720"/>
        </w:sectPr>
      </w:pPr>
    </w:p>
    <w:p w:rsidR="008C3F15" w:rsidRDefault="008C3F15" w:rsidP="008C3F15">
      <w:pPr>
        <w:autoSpaceDE w:val="0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8C3F15" w:rsidRDefault="008C3F15" w:rsidP="008C3F15">
      <w:pPr>
        <w:autoSpaceDE w:val="0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:rsidR="008C3F15" w:rsidRDefault="008C3F15" w:rsidP="008C3F15">
      <w:pPr>
        <w:autoSpaceDE w:val="0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Кинельский</w:t>
      </w:r>
      <w:proofErr w:type="spellEnd"/>
    </w:p>
    <w:p w:rsidR="008C3F15" w:rsidRDefault="008C3F15" w:rsidP="008C3F15">
      <w:pPr>
        <w:autoSpaceDE w:val="0"/>
        <w:jc w:val="right"/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Кинельский</w:t>
      </w:r>
      <w:proofErr w:type="spellEnd"/>
      <w:r>
        <w:rPr>
          <w:sz w:val="28"/>
        </w:rPr>
        <w:t xml:space="preserve"> </w:t>
      </w:r>
    </w:p>
    <w:p w:rsidR="008C3F15" w:rsidRDefault="008C3F15" w:rsidP="008C3F15">
      <w:pPr>
        <w:autoSpaceDE w:val="0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«12» ноября 2018 года</w:t>
      </w:r>
      <w:r>
        <w:rPr>
          <w:sz w:val="28"/>
        </w:rPr>
        <w:t xml:space="preserve">  № 200</w:t>
      </w:r>
    </w:p>
    <w:p w:rsidR="008C3F15" w:rsidRDefault="008C3F15" w:rsidP="008C3F15">
      <w:pPr>
        <w:autoSpaceDE w:val="0"/>
        <w:jc w:val="right"/>
      </w:pPr>
    </w:p>
    <w:p w:rsidR="008C3F15" w:rsidRDefault="008C3F15" w:rsidP="008C3F15">
      <w:pPr>
        <w:autoSpaceDE w:val="0"/>
        <w:jc w:val="right"/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</w:p>
    <w:p w:rsidR="008C3F15" w:rsidRDefault="008C3F15" w:rsidP="008C3F1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8C3F15" w:rsidRDefault="008C3F15" w:rsidP="008C3F15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 CYR" w:cs="Times New Roman CYR"/>
          <w:b/>
          <w:bCs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/>
          <w:bCs/>
          <w:sz w:val="28"/>
          <w:szCs w:val="28"/>
        </w:rPr>
        <w:t>Кинельский</w:t>
      </w:r>
      <w:proofErr w:type="spellEnd"/>
      <w:r>
        <w:rPr>
          <w:rFonts w:eastAsia="Times New Roman CYR" w:cs="Times New Roman CYR"/>
          <w:b/>
          <w:bCs/>
          <w:sz w:val="28"/>
          <w:szCs w:val="28"/>
        </w:rPr>
        <w:t xml:space="preserve"> Самарской области на 2019-202</w:t>
      </w:r>
      <w:r w:rsidR="007915EE">
        <w:rPr>
          <w:rFonts w:eastAsia="Times New Roman CYR" w:cs="Times New Roman CYR"/>
          <w:b/>
          <w:bCs/>
          <w:sz w:val="28"/>
          <w:szCs w:val="28"/>
        </w:rPr>
        <w:t>6</w:t>
      </w:r>
      <w:r>
        <w:rPr>
          <w:rFonts w:eastAsia="Times New Roman CYR" w:cs="Times New Roman CYR"/>
          <w:b/>
          <w:bCs/>
          <w:sz w:val="28"/>
          <w:szCs w:val="28"/>
        </w:rPr>
        <w:t xml:space="preserve"> годы»</w:t>
      </w:r>
    </w:p>
    <w:p w:rsidR="008C3F15" w:rsidRDefault="008C3F15" w:rsidP="008C3F15">
      <w:pPr>
        <w:autoSpaceDE w:val="0"/>
        <w:jc w:val="center"/>
      </w:pPr>
      <w:r>
        <w:rPr>
          <w:rFonts w:eastAsia="Times New Roman CYR" w:cs="Times New Roman CYR"/>
          <w:bCs/>
          <w:sz w:val="28"/>
          <w:szCs w:val="28"/>
        </w:rPr>
        <w:t>(</w:t>
      </w:r>
      <w:r w:rsidR="007915EE">
        <w:rPr>
          <w:rFonts w:eastAsia="Times New Roman CYR" w:cs="Times New Roman CYR"/>
          <w:bCs/>
          <w:sz w:val="28"/>
          <w:szCs w:val="28"/>
        </w:rPr>
        <w:t xml:space="preserve">в редакции постановлений администрации сельского поселения </w:t>
      </w:r>
      <w:proofErr w:type="spellStart"/>
      <w:r w:rsidR="007915EE">
        <w:rPr>
          <w:rFonts w:eastAsia="Times New Roman CYR" w:cs="Times New Roman CYR"/>
          <w:bCs/>
          <w:sz w:val="28"/>
          <w:szCs w:val="28"/>
        </w:rPr>
        <w:t>Кинельский</w:t>
      </w:r>
      <w:proofErr w:type="spellEnd"/>
      <w:r w:rsidR="007915EE">
        <w:rPr>
          <w:rFonts w:eastAsia="Times New Roman CYR" w:cs="Times New Roman CYR"/>
          <w:bCs/>
          <w:sz w:val="28"/>
          <w:szCs w:val="28"/>
        </w:rPr>
        <w:t xml:space="preserve"> от 24.12.2020 года № 174; от 27.12.2021 года № 149; от 28.11.2022 года № 107-1; от 13.03.2023 года № 19-2; от 29.12.2023 года № 123; от 25.12.2024 года № 158</w:t>
      </w:r>
      <w:r>
        <w:rPr>
          <w:rFonts w:eastAsia="Times New Roman CYR" w:cs="Times New Roman CYR"/>
          <w:bCs/>
          <w:sz w:val="28"/>
          <w:szCs w:val="28"/>
        </w:rPr>
        <w:t>)</w:t>
      </w: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ПРОГРАММЫ</w:t>
      </w:r>
    </w:p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6844"/>
      </w:tblGrid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По  профилактике правонарушений и обеспечению общественной безопасности в сельском поселении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Самарской области на 2019-2021 годы»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июня 2018 года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отсутствуют 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  <w:p w:rsidR="008C3F15" w:rsidRDefault="008C3F1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Самарской области</w:t>
            </w:r>
          </w:p>
          <w:p w:rsidR="008C3F15" w:rsidRDefault="008C3F15">
            <w:pPr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bCs/>
                <w:sz w:val="28"/>
                <w:szCs w:val="28"/>
              </w:rPr>
              <w:t>Кинельский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8C3F15" w:rsidTr="008C3F15">
        <w:trPr>
          <w:trHeight w:val="55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8C3F15" w:rsidRDefault="008C3F1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pStyle w:val="HTML"/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укрепление правопорядка и общественной безопасности в сельском поселении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 как необходимое условие соблюдения защиты прав и свобод жителей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области;</w:t>
            </w:r>
          </w:p>
          <w:p w:rsidR="008C3F15" w:rsidRDefault="008C3F15">
            <w:pPr>
              <w:pStyle w:val="HTML"/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области; </w:t>
            </w:r>
          </w:p>
          <w:p w:rsidR="008C3F15" w:rsidRDefault="008C3F15">
            <w:pPr>
              <w:pStyle w:val="HTML"/>
              <w:shd w:val="clear" w:color="auto" w:fill="FFFFFF"/>
              <w:suppressAutoHyphens/>
              <w:autoSpaceDE w:val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тенденции к сокращению распространения наркомании и связанных с ней правонарушений</w:t>
            </w:r>
          </w:p>
        </w:tc>
      </w:tr>
      <w:tr w:rsidR="008C3F15" w:rsidTr="008C3F15">
        <w:trPr>
          <w:trHeight w:val="4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  <w:p w:rsidR="008C3F15" w:rsidRDefault="008C3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  организационной,    научно методической и информационной  деятельности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профилактике правонарушений;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 профилактики  правонарушений   на улицах и в общественных местах;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повышение качества  воспитательной  работы  в образовательных  учреждениях; 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противоправного поведения несовершеннолетних;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детей  и  молодежи  к  участию  в спортивных мероприятиях;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    повторной преступности;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   материально-технической    базы полиции общественной безопасности;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   системы     профилактики потребления  наркотиков  различными  категориями населения,    прежде  всего    молодежью     и несовершеннолетними;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 передовых  методов  лечения  и реабилитации   лиц,   допускающих    потребление наркотиков без назначения врача;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организации и проведению  операций по профилактике  правонарушений,  связанных   с использованием и оборотом наркотиков,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попресечению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незаконного оборота наркотиков;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  новых  преступлений    среди осужденных;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содействие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лиц,   отбывающих наказание в виде лишения свободы;</w:t>
            </w:r>
          </w:p>
          <w:p w:rsidR="008C3F15" w:rsidRDefault="008C3F15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добровольного участия граждан в охране общественного порядка, активизация работы добровольных народных дружин.</w:t>
            </w:r>
          </w:p>
        </w:tc>
      </w:tr>
      <w:tr w:rsidR="008C3F15" w:rsidTr="008C3F15">
        <w:trPr>
          <w:trHeight w:val="55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(ИНДИКАТОРЫ) ПРОГРАММЫ</w:t>
            </w:r>
          </w:p>
          <w:p w:rsidR="008C3F15" w:rsidRDefault="008C3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pStyle w:val="HTM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- количество правонарушений, совершенных на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Самарской области</w:t>
            </w:r>
            <w:r>
              <w:rPr>
                <w:rFonts w:ascii="Times New Roman" w:hAnsi="Times New Roman"/>
                <w:color w:val="2B2B2B"/>
                <w:sz w:val="28"/>
                <w:szCs w:val="28"/>
              </w:rPr>
              <w:t>;</w:t>
            </w:r>
          </w:p>
          <w:p w:rsidR="008C3F15" w:rsidRDefault="008C3F15">
            <w:pPr>
              <w:pStyle w:val="HTM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преступлений, совершенных несовершеннолетними на территории </w:t>
            </w:r>
            <w:r>
              <w:rPr>
                <w:rFonts w:ascii="Times New Roman" w:hAnsi="Times New Roman"/>
                <w:sz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области;</w:t>
            </w:r>
          </w:p>
          <w:p w:rsidR="008C3F15" w:rsidRDefault="008C3F15">
            <w:pPr>
              <w:pStyle w:val="HTM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граждан, стоящих на учете у нарколога;</w:t>
            </w:r>
          </w:p>
          <w:p w:rsidR="008C3F15" w:rsidRDefault="008C3F15">
            <w:pPr>
              <w:pStyle w:val="HTML"/>
              <w:shd w:val="clear" w:color="auto" w:fill="FFFFFF"/>
              <w:suppressAutoHyphens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граждан, повторно совершивших правонарушения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ПОДПРОГРАММЫ С УКАЗАНИЕМ ЦЕЛЕЙ И СРОКОВ РЕАЛИЗАЦИИ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МЕРОПРИЯТИЙ С УКАЗАНИЕМ СРОКОВ РЕАЛИЗАЦИИ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отсутствуют</w:t>
            </w: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 w:rsidP="007915EE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Программа реализуется в один этап с 2019 по 202</w:t>
            </w:r>
            <w:r w:rsidR="007915E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rFonts w:eastAsia="Times New Roman CYR" w:cs="Times New Roman CYR"/>
                <w:sz w:val="28"/>
                <w:szCs w:val="28"/>
              </w:rPr>
              <w:t>- Объем финансирования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Times New Roman CYR" w:cs="Times New Roman CYR"/>
                <w:sz w:val="28"/>
                <w:szCs w:val="28"/>
              </w:rPr>
              <w:t xml:space="preserve">необходимый для реализации мероприятий Программы осуществляется за счет средств бюджета сельского поселения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</w:rPr>
              <w:t>Кинельский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</w:rPr>
              <w:t xml:space="preserve"> и составляет </w:t>
            </w:r>
            <w:r w:rsidR="0083718C">
              <w:rPr>
                <w:sz w:val="28"/>
                <w:szCs w:val="28"/>
              </w:rPr>
              <w:t xml:space="preserve"> 502</w:t>
            </w:r>
            <w:r>
              <w:rPr>
                <w:sz w:val="28"/>
                <w:szCs w:val="28"/>
              </w:rPr>
              <w:t> </w:t>
            </w:r>
            <w:r w:rsidR="0083718C">
              <w:rPr>
                <w:sz w:val="28"/>
                <w:szCs w:val="28"/>
              </w:rPr>
              <w:t>520</w:t>
            </w:r>
            <w:r>
              <w:rPr>
                <w:sz w:val="28"/>
                <w:szCs w:val="28"/>
              </w:rPr>
              <w:t>,</w:t>
            </w:r>
            <w:r w:rsidR="0083718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 р</w:t>
            </w:r>
            <w:r>
              <w:rPr>
                <w:rFonts w:eastAsia="Times New Roman CYR" w:cs="Times New Roman CYR"/>
                <w:sz w:val="28"/>
                <w:szCs w:val="28"/>
              </w:rPr>
              <w:t>ублей, в том числе:</w:t>
            </w: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837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</w:t>
            </w:r>
            <w:r w:rsidR="0083718C">
              <w:rPr>
                <w:sz w:val="28"/>
                <w:szCs w:val="28"/>
              </w:rPr>
              <w:t>43 300</w:t>
            </w:r>
            <w:r>
              <w:rPr>
                <w:sz w:val="28"/>
                <w:szCs w:val="28"/>
              </w:rPr>
              <w:t>,00 руб.</w:t>
            </w: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837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</w:t>
            </w:r>
            <w:r w:rsidR="0083718C">
              <w:rPr>
                <w:sz w:val="28"/>
                <w:szCs w:val="28"/>
              </w:rPr>
              <w:t>70 000</w:t>
            </w:r>
            <w:r>
              <w:rPr>
                <w:sz w:val="28"/>
                <w:szCs w:val="28"/>
              </w:rPr>
              <w:t>,00 руб.</w:t>
            </w:r>
          </w:p>
          <w:p w:rsidR="008C3F15" w:rsidRDefault="008C3F15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37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– </w:t>
            </w:r>
            <w:r w:rsidR="0083718C">
              <w:rPr>
                <w:sz w:val="28"/>
                <w:szCs w:val="28"/>
              </w:rPr>
              <w:t>84 127,49</w:t>
            </w:r>
            <w:r>
              <w:rPr>
                <w:sz w:val="28"/>
                <w:szCs w:val="28"/>
              </w:rPr>
              <w:t xml:space="preserve"> руб.</w:t>
            </w:r>
          </w:p>
          <w:p w:rsidR="0083718C" w:rsidRDefault="0083718C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38 640,26 руб.</w:t>
            </w:r>
          </w:p>
          <w:p w:rsidR="0083718C" w:rsidRDefault="0083718C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105 753,85 руб.</w:t>
            </w:r>
          </w:p>
          <w:p w:rsidR="0083718C" w:rsidRDefault="0083718C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42 699,30 руб.</w:t>
            </w:r>
          </w:p>
          <w:p w:rsidR="0083718C" w:rsidRDefault="0083718C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 – 59 000,00 руб.</w:t>
            </w:r>
          </w:p>
          <w:p w:rsidR="0083718C" w:rsidRDefault="0083718C" w:rsidP="0083718C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 – 59 000,00 руб.</w:t>
            </w:r>
          </w:p>
        </w:tc>
      </w:tr>
      <w:tr w:rsidR="008C3F15" w:rsidTr="008C3F15">
        <w:trPr>
          <w:trHeight w:val="119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</w:rPr>
            </w:pPr>
            <w:r>
              <w:rPr>
                <w:sz w:val="28"/>
              </w:rPr>
              <w:t>- развитие системы профилактики правонарушений;</w:t>
            </w:r>
          </w:p>
          <w:p w:rsidR="008C3F15" w:rsidRDefault="008C3F15">
            <w:pPr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>- повышение уровня общественной безопасности;</w:t>
            </w:r>
          </w:p>
          <w:p w:rsidR="008C3F15" w:rsidRDefault="008C3F15">
            <w:pPr>
              <w:shd w:val="clear" w:color="auto" w:fill="FFFFFF"/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>
              <w:rPr>
                <w:sz w:val="28"/>
                <w:szCs w:val="28"/>
              </w:rPr>
              <w:t xml:space="preserve">- укрепление общественного порядка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8C3F15" w:rsidRDefault="008C3F15" w:rsidP="008C3F15">
      <w:pPr>
        <w:autoSpaceDE w:val="0"/>
        <w:jc w:val="center"/>
        <w:rPr>
          <w:b/>
          <w:bCs/>
          <w:sz w:val="28"/>
          <w:szCs w:val="28"/>
        </w:rPr>
      </w:pPr>
    </w:p>
    <w:p w:rsidR="008C3F15" w:rsidRDefault="008C3F15" w:rsidP="008C3F15">
      <w:pPr>
        <w:widowControl/>
        <w:numPr>
          <w:ilvl w:val="0"/>
          <w:numId w:val="1"/>
        </w:numPr>
        <w:suppressAutoHyphens w:val="0"/>
        <w:spacing w:after="120"/>
        <w:ind w:left="0" w:firstLine="0"/>
        <w:jc w:val="center"/>
        <w:rPr>
          <w:b/>
          <w:sz w:val="28"/>
        </w:rPr>
      </w:pPr>
      <w:r>
        <w:rPr>
          <w:b/>
          <w:sz w:val="28"/>
        </w:rPr>
        <w:t>Характеристика текущего состояния, основные проблемы в сфере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общественной безопасности</w:t>
      </w:r>
      <w:r>
        <w:rPr>
          <w:b/>
          <w:sz w:val="28"/>
        </w:rPr>
        <w:t>, показатели и анализ социальных, финансово-экономических и прочих рисков реализации Программы</w:t>
      </w:r>
    </w:p>
    <w:p w:rsidR="008C3F15" w:rsidRDefault="008C3F15" w:rsidP="008C3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основой для разработки муниципальной программы является Федеральный закон от 23 июня 2016 г. N 182-ФЗ "Об основах системы профилактики правонарушений в Российской Федерации". Противодействие преступности, охрана общественного порядка, профилактика правонарушений,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правовое просвещение граждан всегда являлись важнейшими задачами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всех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обострили криминогенную обстановку как в стране в целом, так и в сельском поселении. В этих условиях требуется принятие дополнительных, адекватных происходящим процессам мер реагирования, многократно усиливается значение консолидированных усилий всего общества и государства.</w:t>
      </w:r>
    </w:p>
    <w:p w:rsidR="008C3F15" w:rsidRPr="008C3F15" w:rsidRDefault="008C3F15" w:rsidP="008C3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Преступная среда ведет себя вызывающе, становится все более наглой и агрессивной, распространяя свое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социальные и экономические институты, которые ранее считались защищенными, и сегодня реально угрожает цивилизованному развитию общества. Своими противоправными действиями она разрушает экономику, подрывает общественную мораль и нравственность, дестабилизируя буквально все сферы жизнедеятельности, лишает людей естественного чувства личной безопасности, спокойствия, уверенности в том, что никто не нарушит их законные права и интересы. В связи с чем, на территории поселения сохраняется высокий уровень преступности, в том числе среди несовершеннолетних или при их соучастии. Остается напряженной ситуация, связанная с незаконным распространением и потреблением наркотических средств. Наркомания и связанные с ней правонарушения наиболее распространены среди молодежи.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алкоголизма и других социально-негативных явлений среди детей и молодежи являются не менее значимыми, чем проблема распространения наркомании. </w:t>
      </w:r>
    </w:p>
    <w:p w:rsidR="008C3F15" w:rsidRDefault="008C3F15" w:rsidP="008C3F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этих проблем и других задач укрепления правопорядка неразрывно связано с активизацией и совершенствованием деятельности всех субъектов профилактики правонарушений.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в борьбе с преступностью и профилактике правонарушений. </w:t>
      </w:r>
    </w:p>
    <w:p w:rsidR="008C3F15" w:rsidRDefault="008C3F15" w:rsidP="008C3F1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Важное значение</w:t>
      </w:r>
      <w:proofErr w:type="gramEnd"/>
      <w:r>
        <w:rPr>
          <w:rFonts w:cs="Times New Roman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цели и решением задач Программы, оценка их масштабов и последствий, а также формирование системы мер по их предотвращению.</w:t>
      </w:r>
    </w:p>
    <w:p w:rsidR="008C3F15" w:rsidRDefault="008C3F15" w:rsidP="008C3F1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Финансовые риски связаны с возникновением бюджетного дефицита и, как следствие, недостаточным уровнем бюджетного финансирования  сферы общественной безопасности, что может повлечь недофинансирование, сокращение или прекращение программных мероприятий.</w:t>
      </w:r>
    </w:p>
    <w:p w:rsidR="008C3F15" w:rsidRDefault="008C3F15" w:rsidP="008C3F1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Способами ограничения финансовых рисков выступают ежегодное </w:t>
      </w:r>
      <w:r>
        <w:rPr>
          <w:rFonts w:cs="Times New Roman"/>
          <w:sz w:val="28"/>
          <w:szCs w:val="28"/>
        </w:rPr>
        <w:lastRenderedPageBreak/>
        <w:t>уточнение объемов финансовых средств, предусмотренных на реализацию мероприятий Программы, в том числе в зависимости от достигнутых результатов; определение приоритетов для первоочередного финансирования; привлечение внебюджетного финансирования.</w:t>
      </w:r>
    </w:p>
    <w:p w:rsidR="008C3F15" w:rsidRDefault="008C3F15" w:rsidP="008C3F1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Административные риски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отраслью культуры, нарушение планируемых сроков реализации Программы, невыполнение ее задач, </w:t>
      </w:r>
      <w:proofErr w:type="spellStart"/>
      <w:r>
        <w:rPr>
          <w:rFonts w:cs="Times New Roman"/>
          <w:sz w:val="28"/>
          <w:szCs w:val="28"/>
        </w:rPr>
        <w:t>недостижение</w:t>
      </w:r>
      <w:proofErr w:type="spellEnd"/>
      <w:r>
        <w:rPr>
          <w:rFonts w:cs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8C3F15" w:rsidRDefault="008C3F15" w:rsidP="008C3F15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условиями минимизации административных рисков являются формирование эффективной системы управления реализацией Программы; ежегодный анализ результативности реализации Программы; повышение эффективности взаимодействия участников реализации Программы; своевременная корректировка мероприятий Программы.</w:t>
      </w:r>
    </w:p>
    <w:p w:rsidR="008C3F15" w:rsidRDefault="008C3F15" w:rsidP="008C3F15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 Приоритеты и цели муниципальной политики в сфере культуры, цели и задачи Программы, планируемые конечные результаты реализации Программы</w:t>
      </w:r>
    </w:p>
    <w:p w:rsidR="008C3F15" w:rsidRDefault="008C3F15" w:rsidP="0083718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8C3F15" w:rsidRDefault="008C3F15" w:rsidP="008C3F15">
      <w:pPr>
        <w:pStyle w:val="HTML"/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укрепление правопорядка и общественной безопасности в сельском поселении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 как необходимое условие соблюдения защиты прав и свобод жителей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:rsidR="008C3F15" w:rsidRDefault="008C3F15" w:rsidP="008C3F15">
      <w:pPr>
        <w:pStyle w:val="HTML"/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области; </w:t>
      </w:r>
    </w:p>
    <w:p w:rsidR="008C3F15" w:rsidRDefault="008C3F15" w:rsidP="0083718C">
      <w:pPr>
        <w:pStyle w:val="HTML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закрепление тенденции к сокращению распространения наркомании и связанных с ней правонарушений.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необходимо выполнение комплекса задач: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осуществление   организационной,    научно методической и информационной  деятельности  по профилактике правонарушений;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 профилактики  правонарушений   на улицах и в общественных местах;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качества  воспитательной  работы  в образовательных     учреждениях; 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-профилактика противоправного поведения несовершеннолетних;- привлечение детей  и  молодежи  к  участию  в спортивных мероприятиях;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содействие социальной адаптации осужденных, а также  лиц,  освободившихся  из   мест   лишения свободы,  и  несовершеннолетних,  прибывших   из специальных   учебно-воспитательных   учреждений закрытого    типа;    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профилактика     повторной преступности;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укрепление    материально-технической    базы полиции общественной безопасности;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совершенствование    системы     профилактики потребления  наркотиков  различными  категориями населения,    прежде  всего    молодежью     и несовершеннолетними;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 передовых  методов  лечения  и реабилитации   лиц,   допускающих    потребление наркотиков без назначения врача;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содействие организации и проведению  операций по профилактике  правонарушений,  связанных   с использованием и оборотом наркотиков,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попресечению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незаконного оборота наркотиков;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профилактика   новых  преступлений    среди осужденных;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лиц,   отбывающих наказание в виде лишения свободы;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добровольного участия граждан в охране общественного порядка, активизация работы добровольных народных дружин.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 w:val="28"/>
        </w:rPr>
      </w:pPr>
      <w:r>
        <w:rPr>
          <w:sz w:val="28"/>
          <w:szCs w:val="28"/>
        </w:rPr>
        <w:tab/>
        <w:t>Реализация Программы позволит ежегодно трудоустраивать на работах, связанных с благоустройством территории лиц, осужденных без лишения свободы.</w:t>
      </w:r>
    </w:p>
    <w:p w:rsidR="008C3F15" w:rsidRDefault="008C3F15" w:rsidP="008C3F15">
      <w:pPr>
        <w:widowControl/>
        <w:numPr>
          <w:ilvl w:val="0"/>
          <w:numId w:val="2"/>
        </w:numPr>
        <w:tabs>
          <w:tab w:val="left" w:pos="1349"/>
          <w:tab w:val="left" w:pos="2268"/>
        </w:tabs>
        <w:suppressAutoHyphens w:val="0"/>
        <w:spacing w:after="120"/>
        <w:jc w:val="center"/>
        <w:rPr>
          <w:b/>
          <w:sz w:val="28"/>
        </w:rPr>
      </w:pPr>
      <w:r>
        <w:rPr>
          <w:b/>
          <w:sz w:val="28"/>
        </w:rPr>
        <w:t>Перечень мероприятий Программы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Предполагается проведение следующих работ: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мониторинг текущего состояния </w:t>
      </w:r>
      <w:r>
        <w:rPr>
          <w:color w:val="000000"/>
          <w:sz w:val="28"/>
          <w:szCs w:val="28"/>
        </w:rPr>
        <w:t>обеспечения общественной безопасности и правопорядка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поселения;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выявление проблем, связанных с</w:t>
      </w:r>
      <w:r>
        <w:rPr>
          <w:color w:val="000000"/>
          <w:sz w:val="28"/>
          <w:szCs w:val="28"/>
        </w:rPr>
        <w:t xml:space="preserve"> обеспечением общественной безопасности и правопорядка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поселения;</w:t>
      </w:r>
    </w:p>
    <w:p w:rsidR="008C3F15" w:rsidRDefault="008C3F15" w:rsidP="008C3F1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плана мероприятий по </w:t>
      </w:r>
      <w:r>
        <w:rPr>
          <w:color w:val="000000"/>
          <w:sz w:val="28"/>
          <w:szCs w:val="28"/>
        </w:rPr>
        <w:t>обеспечению общественной безопасности и правопорядка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создание системы мониторинга за ходом реализации программы;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лиц, отбывающих наказание без лишения свободы;</w:t>
      </w:r>
    </w:p>
    <w:p w:rsidR="008C3F15" w:rsidRDefault="008C3F15" w:rsidP="008C3F15">
      <w:pPr>
        <w:pStyle w:val="ConsPlusNonformat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оценка полученных результатов.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приведен в Приложении 1 к Программе.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C3F15" w:rsidRDefault="008C3F15" w:rsidP="008C3F15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center"/>
        <w:rPr>
          <w:b/>
          <w:sz w:val="28"/>
        </w:rPr>
      </w:pPr>
      <w:r>
        <w:rPr>
          <w:b/>
          <w:sz w:val="28"/>
        </w:rPr>
        <w:t>Сроки и этапы реализации Программы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12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реализуется в один этап: с 2019 по 202</w:t>
      </w:r>
      <w:r w:rsidR="003B08E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</w:t>
      </w:r>
      <w:r w:rsidR="003B08E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0"/>
        <w:jc w:val="center"/>
        <w:rPr>
          <w:b/>
          <w:sz w:val="28"/>
        </w:rPr>
      </w:pPr>
      <w:r>
        <w:rPr>
          <w:b/>
          <w:sz w:val="28"/>
        </w:rPr>
        <w:t>5. Перечень показателей (индикаторов) Программы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697"/>
        <w:jc w:val="both"/>
        <w:rPr>
          <w:sz w:val="28"/>
        </w:rPr>
      </w:pPr>
      <w:r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0"/>
        <w:jc w:val="center"/>
        <w:rPr>
          <w:b/>
          <w:sz w:val="28"/>
        </w:rPr>
      </w:pPr>
      <w:r>
        <w:rPr>
          <w:b/>
          <w:sz w:val="28"/>
        </w:rPr>
        <w:t>6. Ресурсное обеспечение Программы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Программы осуществляется за счет средств местного бюджета. </w:t>
      </w:r>
    </w:p>
    <w:p w:rsidR="003B08ED" w:rsidRDefault="008C3F15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sz w:val="28"/>
          <w:szCs w:val="28"/>
        </w:rPr>
      </w:pPr>
      <w:r>
        <w:rPr>
          <w:sz w:val="28"/>
        </w:rPr>
        <w:t xml:space="preserve">Объем финансирования, необходимый для реализации мероприятий Программы составляет – </w:t>
      </w:r>
      <w:r w:rsidR="003B08ED">
        <w:rPr>
          <w:sz w:val="28"/>
          <w:szCs w:val="28"/>
        </w:rPr>
        <w:t>502 520,90 р</w:t>
      </w:r>
      <w:r w:rsidR="003B08ED">
        <w:rPr>
          <w:rFonts w:eastAsia="Times New Roman CYR" w:cs="Times New Roman CYR"/>
          <w:sz w:val="28"/>
          <w:szCs w:val="28"/>
        </w:rPr>
        <w:t>ублей, в том числе: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8"/>
          <w:szCs w:val="28"/>
        </w:rPr>
      </w:pPr>
      <w:r>
        <w:rPr>
          <w:sz w:val="28"/>
          <w:szCs w:val="28"/>
        </w:rPr>
        <w:t>2019 г. – 43 300,00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lastRenderedPageBreak/>
        <w:t>2020 г. – 70 000,00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t>2021 г. – 84 127,49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t>2022 г. – 38 640,26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t>2023 г. – 105 753,85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t>2024 г. – 42 699,30 руб.</w:t>
      </w:r>
    </w:p>
    <w:p w:rsidR="003B08ED" w:rsidRDefault="003B08ED" w:rsidP="003B08ED">
      <w:pPr>
        <w:tabs>
          <w:tab w:val="left" w:pos="916"/>
          <w:tab w:val="left" w:pos="183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851"/>
        <w:rPr>
          <w:sz w:val="28"/>
          <w:szCs w:val="28"/>
        </w:rPr>
      </w:pPr>
      <w:r>
        <w:rPr>
          <w:sz w:val="28"/>
          <w:szCs w:val="28"/>
        </w:rPr>
        <w:t>2025 г. – 59 000,00 руб.</w:t>
      </w:r>
    </w:p>
    <w:p w:rsidR="003B08ED" w:rsidRDefault="003B08ED" w:rsidP="003B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2026 г. – 59 000,00 руб.</w:t>
      </w:r>
    </w:p>
    <w:p w:rsidR="008C3F15" w:rsidRDefault="008C3F15" w:rsidP="003B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sz w:val="28"/>
        </w:rPr>
      </w:pPr>
      <w:r>
        <w:rPr>
          <w:sz w:val="28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Расходные обязательства сельского поселения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, возникающие в результате реализации мероприятий муниципальной программы, исполняются сельским поселением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самостоятельно за счет средств бюджета сельского поселения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>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В ходе реализации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r>
        <w:rPr>
          <w:bCs/>
          <w:sz w:val="28"/>
        </w:rPr>
        <w:t>Кинельский</w:t>
      </w:r>
      <w:proofErr w:type="spellEnd"/>
      <w:r>
        <w:rPr>
          <w:bCs/>
          <w:sz w:val="28"/>
        </w:rPr>
        <w:t xml:space="preserve"> Самарской области на 2019-202</w:t>
      </w:r>
      <w:r w:rsidR="003B08ED">
        <w:rPr>
          <w:bCs/>
          <w:sz w:val="28"/>
        </w:rPr>
        <w:t>6</w:t>
      </w:r>
      <w:r>
        <w:rPr>
          <w:bCs/>
          <w:sz w:val="28"/>
        </w:rPr>
        <w:t xml:space="preserve"> годы»  ежегодной корректировке подлежат мероприятия и объемы их финансирования с учетом возможностей средств бюджета поселения.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bCs/>
          <w:sz w:val="28"/>
        </w:rPr>
      </w:pP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0"/>
        <w:jc w:val="center"/>
        <w:rPr>
          <w:b/>
          <w:sz w:val="28"/>
        </w:rPr>
      </w:pPr>
      <w:r>
        <w:rPr>
          <w:b/>
          <w:sz w:val="28"/>
        </w:rPr>
        <w:t>7. Комплексная оценка эффективности реализации Программы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8C3F15" w:rsidRDefault="008C3F15" w:rsidP="003B08ED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 w:val="0"/>
        </w:rPr>
      </w:pPr>
      <w:r>
        <w:rPr>
          <w:b w:val="0"/>
        </w:rPr>
        <w:t>Оценка степени выполнения мероприятий Программы</w:t>
      </w:r>
    </w:p>
    <w:p w:rsidR="008C3F15" w:rsidRDefault="008C3F15" w:rsidP="003B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8C3F15" w:rsidRDefault="008C3F15" w:rsidP="008C3F15">
      <w:pPr>
        <w:pStyle w:val="a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center"/>
        <w:rPr>
          <w:b w:val="0"/>
        </w:rPr>
      </w:pPr>
      <w:r>
        <w:rPr>
          <w:b w:val="0"/>
        </w:rPr>
        <w:t>Оценка эффективности реализации Программы</w:t>
      </w:r>
    </w:p>
    <w:p w:rsidR="008C3F15" w:rsidRDefault="008C3F15" w:rsidP="003B0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эффективности реализации Программы (R) за отчетный год </w:t>
      </w:r>
      <w:r>
        <w:rPr>
          <w:sz w:val="28"/>
          <w:szCs w:val="28"/>
        </w:rPr>
        <w:lastRenderedPageBreak/>
        <w:t>рассчитывается по формуле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4pt;height:67.7pt" o:ole="">
            <v:imagedata r:id="rId6" o:title=""/>
          </v:shape>
          <o:OLEObject Type="Embed" ProgID="Equation.3" ShapeID="_x0000_i1025" DrawAspect="Content" ObjectID="_1799734178" r:id="rId7"/>
        </w:object>
      </w:r>
      <w:r>
        <w:rPr>
          <w:sz w:val="28"/>
          <w:szCs w:val="28"/>
        </w:rPr>
        <w:t>,</w:t>
      </w:r>
    </w:p>
    <w:p w:rsidR="008C3F15" w:rsidRDefault="008C3F15" w:rsidP="008C3F15">
      <w:pPr>
        <w:tabs>
          <w:tab w:val="left" w:pos="142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600" w:dyaOrig="375">
          <v:shape id="_x0000_i1026" type="#_x0000_t75" style="width:30.25pt;height:18.7pt" o:ole="">
            <v:imagedata r:id="rId8" o:title=""/>
          </v:shape>
          <o:OLEObject Type="Embed" ProgID="Equation.3" ShapeID="_x0000_i1026" DrawAspect="Content" ObjectID="_1799734179" r:id="rId9"/>
        </w:object>
      </w:r>
      <w:r>
        <w:rPr>
          <w:sz w:val="28"/>
          <w:szCs w:val="28"/>
        </w:rPr>
        <w:t xml:space="preserve"> – плановое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600" w:dyaOrig="375">
          <v:shape id="_x0000_i1027" type="#_x0000_t75" style="width:30.25pt;height:18.7pt" o:ole="">
            <v:imagedata r:id="rId10" o:title=""/>
          </v:shape>
          <o:OLEObject Type="Embed" ProgID="Equation.3" ShapeID="_x0000_i1027" DrawAspect="Content" ObjectID="_1799734180" r:id="rId11"/>
        </w:object>
      </w:r>
      <w:r>
        <w:rPr>
          <w:sz w:val="28"/>
          <w:szCs w:val="28"/>
        </w:rPr>
        <w:t>– значение n-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показателя (индикатора) на конец отчетного года;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555" w:dyaOrig="300">
          <v:shape id="_x0000_i1028" type="#_x0000_t75" style="width:28.1pt;height:15.1pt" o:ole="">
            <v:imagedata r:id="rId12" o:title=""/>
          </v:shape>
          <o:OLEObject Type="Embed" ProgID="Equation.3" ShapeID="_x0000_i1028" DrawAspect="Content" ObjectID="_1799734181" r:id="rId13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object w:dxaOrig="540" w:dyaOrig="300">
          <v:shape id="_x0000_i1029" type="#_x0000_t75" style="width:27.35pt;height:15.1pt" o:ole="">
            <v:imagedata r:id="rId14" o:title=""/>
          </v:shape>
          <o:OLEObject Type="Embed" ProgID="Equation.3" ShapeID="_x0000_i1029" DrawAspect="Content" ObjectID="_1799734182" r:id="rId15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8C3F15" w:rsidRDefault="008C3F15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</w:rPr>
        <w:sectPr w:rsidR="008C3F15">
          <w:pgSz w:w="11906" w:h="16838"/>
          <w:pgMar w:top="1134" w:right="850" w:bottom="1134" w:left="1276" w:header="708" w:footer="708" w:gutter="0"/>
          <w:cols w:space="720"/>
        </w:sectPr>
      </w:pP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3"/>
        <w:jc w:val="center"/>
        <w:rPr>
          <w:sz w:val="28"/>
        </w:rPr>
      </w:pPr>
      <w:r>
        <w:rPr>
          <w:sz w:val="28"/>
        </w:rPr>
        <w:lastRenderedPageBreak/>
        <w:t>ПРИЛОЖЕНИЕ 1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3"/>
        <w:jc w:val="center"/>
        <w:rPr>
          <w:color w:val="000000"/>
          <w:sz w:val="28"/>
          <w:szCs w:val="28"/>
        </w:rPr>
      </w:pPr>
      <w:r>
        <w:rPr>
          <w:sz w:val="28"/>
        </w:rPr>
        <w:t xml:space="preserve">к муниципальной программе </w:t>
      </w:r>
      <w:r>
        <w:rPr>
          <w:bCs/>
          <w:color w:val="000000"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Самарской области на 2019-202</w:t>
      </w:r>
      <w:r w:rsidR="003B08ED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годы»</w:t>
      </w: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3"/>
        <w:jc w:val="center"/>
        <w:rPr>
          <w:sz w:val="28"/>
          <w:szCs w:val="28"/>
        </w:rPr>
      </w:pP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773"/>
        <w:jc w:val="center"/>
        <w:rPr>
          <w:sz w:val="28"/>
          <w:szCs w:val="28"/>
        </w:rPr>
      </w:pPr>
    </w:p>
    <w:p w:rsidR="003B08ED" w:rsidRDefault="003B08ED" w:rsidP="003B08ED">
      <w:pPr>
        <w:ind w:left="10773"/>
        <w:jc w:val="center"/>
        <w:rPr>
          <w:color w:val="000000"/>
          <w:sz w:val="28"/>
          <w:szCs w:val="28"/>
        </w:rPr>
      </w:pPr>
    </w:p>
    <w:p w:rsidR="003B08ED" w:rsidRDefault="003B08ED" w:rsidP="003B08ED">
      <w:pPr>
        <w:jc w:val="center"/>
      </w:pPr>
      <w:r>
        <w:rPr>
          <w:b/>
          <w:sz w:val="28"/>
          <w:szCs w:val="28"/>
        </w:rPr>
        <w:t>ПЕРЕЧЕНЬ  МЕРОПРИЯТИЙ</w:t>
      </w:r>
    </w:p>
    <w:p w:rsidR="003B08ED" w:rsidRDefault="003B08ED" w:rsidP="003B08ED">
      <w:pPr>
        <w:widowControl/>
        <w:suppressAutoHyphens w:val="0"/>
        <w:jc w:val="center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</w:p>
    <w:tbl>
      <w:tblPr>
        <w:tblW w:w="15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3255"/>
        <w:gridCol w:w="708"/>
        <w:gridCol w:w="8"/>
        <w:gridCol w:w="142"/>
        <w:gridCol w:w="559"/>
        <w:gridCol w:w="8"/>
        <w:gridCol w:w="284"/>
        <w:gridCol w:w="559"/>
        <w:gridCol w:w="8"/>
        <w:gridCol w:w="283"/>
        <w:gridCol w:w="558"/>
        <w:gridCol w:w="9"/>
        <w:gridCol w:w="284"/>
        <w:gridCol w:w="557"/>
        <w:gridCol w:w="10"/>
        <w:gridCol w:w="283"/>
        <w:gridCol w:w="425"/>
        <w:gridCol w:w="426"/>
        <w:gridCol w:w="283"/>
        <w:gridCol w:w="567"/>
        <w:gridCol w:w="142"/>
        <w:gridCol w:w="709"/>
        <w:gridCol w:w="992"/>
        <w:gridCol w:w="1417"/>
        <w:gridCol w:w="2417"/>
      </w:tblGrid>
      <w:tr w:rsidR="003B08ED" w:rsidTr="008D6EF0">
        <w:trPr>
          <w:cantSplit/>
          <w:trHeight w:val="395"/>
          <w:tblHeader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Наименование мероприятий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Ресурсное обеспечение 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Сроки реализации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3B08ED" w:rsidTr="008D6EF0">
        <w:trPr>
          <w:cantSplit/>
          <w:tblHeader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2021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2022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2023 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укреплению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квартал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Организация проведения отчетов участковых уполномоченных полиции</w:t>
            </w:r>
          </w:p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перед  населением административных участков,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коллективами предприятий, учреждений, организаций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Выделение помещения для создания участкового пункта полиции</w:t>
            </w:r>
          </w:p>
        </w:tc>
        <w:tc>
          <w:tcPr>
            <w:tcW w:w="780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 г.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Освещение в газете «Вестник» проблематики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состоянию  правопорядка и общественной безопасности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 пропаганды  здорового образа жизни подростков и молодежи, их ориентации на духовные ценности в газете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«Вестник»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 сети Интернет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</w:pPr>
          </w:p>
        </w:tc>
      </w:tr>
      <w:tr w:rsidR="003B08ED" w:rsidTr="008D6EF0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  <w:rPr>
                <w:highlight w:val="yellow"/>
              </w:rPr>
            </w:pPr>
            <w:r w:rsidRPr="002C288C">
              <w:rPr>
                <w:rFonts w:eastAsia="Times New Roman" w:cs="Times New Roman"/>
                <w:kern w:val="0"/>
                <w:lang w:eastAsia="ru-RU" w:bidi="ar-SA"/>
              </w:rPr>
              <w:t>Содержание членов ДНД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sz w:val="20"/>
                <w:szCs w:val="20"/>
              </w:rPr>
              <w:t>43300,00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44127,49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38640,26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56753,85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42699,30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8ED" w:rsidRPr="002C288C" w:rsidRDefault="003B08ED" w:rsidP="008D6EF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B08ED" w:rsidRPr="002C288C" w:rsidRDefault="003B08ED" w:rsidP="008D6E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502 520,90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highlight w:val="yellow"/>
              </w:rPr>
            </w:pPr>
            <w:r w:rsidRPr="002C288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Восстановление, либо оформление документов, удостоверяющих личность (паспорт, военный билет) лицам, ранее совершавшим преступления и не имеющим постоянного дохода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C288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8ED" w:rsidRPr="002C288C" w:rsidRDefault="003B08ED" w:rsidP="008D6EF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B08ED" w:rsidRPr="002C288C" w:rsidRDefault="003B08ED" w:rsidP="008D6E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</w:p>
        </w:tc>
      </w:tr>
      <w:tr w:rsidR="003B08ED" w:rsidTr="008D6EF0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Подготовка и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распространение методических пособий по повышению правосознания граждан</w:t>
            </w:r>
          </w:p>
        </w:tc>
        <w:tc>
          <w:tcPr>
            <w:tcW w:w="780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рамках текущей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льно</w:t>
            </w:r>
          </w:p>
        </w:tc>
        <w:tc>
          <w:tcPr>
            <w:tcW w:w="2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Администрация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78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3B08ED" w:rsidRDefault="003B08ED" w:rsidP="008D6EF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Кинельский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40 000,00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  <w:r w:rsidRPr="002C288C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000,0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8ED" w:rsidRPr="002C288C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B08ED" w:rsidRPr="002C288C" w:rsidRDefault="003B08ED" w:rsidP="008D6EF0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Pr="002C288C" w:rsidRDefault="003B08ED" w:rsidP="008D6EF0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89000,00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08ED" w:rsidRDefault="003B08ED" w:rsidP="008D6EF0">
            <w:pPr>
              <w:jc w:val="center"/>
            </w:pPr>
            <w:r>
              <w:t>Постоянно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8ED" w:rsidRDefault="003B08ED" w:rsidP="008D6EF0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Кинельский</w:t>
            </w:r>
            <w:proofErr w:type="spellEnd"/>
            <w:r>
              <w:t>;</w:t>
            </w: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3B08ED" w:rsidTr="008D6EF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 по  Программе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43 300,00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70 000,00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84 127,49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38640,26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105753,85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42699,30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8ED" w:rsidRPr="007F1A90" w:rsidRDefault="003B08ED" w:rsidP="008D6EF0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F1A90">
              <w:rPr>
                <w:sz w:val="20"/>
                <w:szCs w:val="20"/>
              </w:rPr>
              <w:t>59000,00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B08ED" w:rsidRPr="007F1A90" w:rsidRDefault="003B08ED" w:rsidP="008D6EF0">
            <w:pPr>
              <w:jc w:val="center"/>
              <w:rPr>
                <w:sz w:val="20"/>
                <w:szCs w:val="20"/>
              </w:rPr>
            </w:pPr>
            <w:r w:rsidRPr="007F1A90">
              <w:rPr>
                <w:sz w:val="20"/>
                <w:szCs w:val="20"/>
              </w:rPr>
              <w:t>59000,00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jc w:val="center"/>
              <w:rPr>
                <w:sz w:val="20"/>
                <w:szCs w:val="20"/>
                <w:highlight w:val="yellow"/>
              </w:rPr>
            </w:pPr>
            <w:r w:rsidRPr="007F1A90">
              <w:rPr>
                <w:b/>
                <w:sz w:val="20"/>
                <w:szCs w:val="20"/>
              </w:rPr>
              <w:t>502520,90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8ED" w:rsidRDefault="003B08ED" w:rsidP="008D6EF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B08ED" w:rsidRDefault="003B08ED" w:rsidP="003B08ED">
      <w:pPr>
        <w:widowControl/>
        <w:suppressAutoHyphens w:val="0"/>
        <w:rPr>
          <w:rFonts w:eastAsia="Times New Roman" w:cs="Times New Roman"/>
          <w:kern w:val="0"/>
          <w:sz w:val="28"/>
          <w:lang w:eastAsia="ru-RU" w:bidi="ar-SA"/>
        </w:rPr>
      </w:pPr>
    </w:p>
    <w:p w:rsidR="003B08ED" w:rsidRDefault="003B08ED" w:rsidP="003B08ED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3B08ED" w:rsidRDefault="003B08ED" w:rsidP="003B08ED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3B08ED" w:rsidRDefault="003B08ED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B08ED" w:rsidRDefault="003B08ED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B08ED" w:rsidRDefault="003B08ED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B08ED" w:rsidRDefault="003B08ED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C3F15" w:rsidRDefault="008C3F15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8C3F15" w:rsidRDefault="008C3F15" w:rsidP="008C3F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8"/>
        </w:rPr>
        <w:sectPr w:rsidR="008C3F15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3B08ED" w:rsidRDefault="003B08ED" w:rsidP="003B08ED">
      <w:pPr>
        <w:ind w:left="9923"/>
        <w:jc w:val="center"/>
      </w:pPr>
      <w:r>
        <w:rPr>
          <w:sz w:val="28"/>
        </w:rPr>
        <w:lastRenderedPageBreak/>
        <w:t>ПРИЛОЖЕНИЕ 2</w:t>
      </w:r>
    </w:p>
    <w:p w:rsidR="003B08ED" w:rsidRDefault="003B08ED" w:rsidP="003B08ED">
      <w:pPr>
        <w:ind w:left="9923"/>
        <w:jc w:val="center"/>
      </w:pPr>
      <w:r>
        <w:rPr>
          <w:sz w:val="28"/>
        </w:rPr>
        <w:t xml:space="preserve">к муниципальной программе </w:t>
      </w:r>
      <w:r>
        <w:rPr>
          <w:bCs/>
          <w:color w:val="000000"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Самарской области на 2019-2026 годы»</w:t>
      </w:r>
    </w:p>
    <w:p w:rsidR="003B08ED" w:rsidRDefault="003B08ED" w:rsidP="003B08ED">
      <w:pPr>
        <w:ind w:firstLine="709"/>
        <w:jc w:val="center"/>
      </w:pPr>
      <w:r>
        <w:rPr>
          <w:b/>
          <w:color w:val="000000"/>
          <w:sz w:val="28"/>
        </w:rPr>
        <w:t xml:space="preserve">ПЕРЕЧЕНЬ </w:t>
      </w:r>
    </w:p>
    <w:p w:rsidR="003B08ED" w:rsidRDefault="003B08ED" w:rsidP="003B08ED">
      <w:pPr>
        <w:ind w:firstLine="709"/>
        <w:jc w:val="center"/>
      </w:pPr>
      <w:r>
        <w:rPr>
          <w:b/>
          <w:color w:val="000000"/>
          <w:sz w:val="28"/>
        </w:rPr>
        <w:t xml:space="preserve">показателей (индикаторов), характеризующих ежегодный ход и итоги реализации </w:t>
      </w:r>
    </w:p>
    <w:p w:rsidR="003B08ED" w:rsidRDefault="003B08ED" w:rsidP="003B08ED">
      <w:pPr>
        <w:widowControl/>
        <w:suppressAutoHyphens w:val="0"/>
        <w:jc w:val="center"/>
      </w:pPr>
      <w:r>
        <w:rPr>
          <w:b/>
          <w:color w:val="000000"/>
          <w:sz w:val="28"/>
        </w:rPr>
        <w:t xml:space="preserve">муниципальной программы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</w:p>
    <w:p w:rsidR="003B08ED" w:rsidRDefault="003B08ED" w:rsidP="003B08ED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474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469"/>
        <w:gridCol w:w="1558"/>
        <w:gridCol w:w="709"/>
        <w:gridCol w:w="709"/>
        <w:gridCol w:w="708"/>
        <w:gridCol w:w="709"/>
        <w:gridCol w:w="709"/>
        <w:gridCol w:w="850"/>
        <w:gridCol w:w="851"/>
        <w:gridCol w:w="768"/>
      </w:tblGrid>
      <w:tr w:rsidR="003B08ED" w:rsidTr="008D6EF0">
        <w:trPr>
          <w:cantSplit/>
          <w:trHeight w:val="23"/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№</w:t>
            </w:r>
          </w:p>
          <w:p w:rsidR="003B08ED" w:rsidRDefault="003B08ED" w:rsidP="008D6EF0">
            <w:pPr>
              <w:widowControl/>
              <w:autoSpaceDE w:val="0"/>
              <w:jc w:val="center"/>
            </w:pPr>
            <w:proofErr w:type="gramStart"/>
            <w:r>
              <w:rPr>
                <w:rFonts w:eastAsia="Times New Roman" w:cs="Times New Roman"/>
                <w:b/>
                <w:kern w:val="0"/>
                <w:lang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lang w:bidi="ar-SA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Наименование цели,</w:t>
            </w:r>
          </w:p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задачи, показателя</w:t>
            </w:r>
          </w:p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ind w:left="-158" w:firstLine="158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Единица</w:t>
            </w:r>
          </w:p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измерения</w:t>
            </w:r>
          </w:p>
        </w:tc>
        <w:tc>
          <w:tcPr>
            <w:tcW w:w="6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Значение показателя (индикатора) по годам</w:t>
            </w:r>
          </w:p>
        </w:tc>
      </w:tr>
      <w:tr w:rsidR="003B08ED" w:rsidTr="008D6EF0">
        <w:trPr>
          <w:cantSplit/>
          <w:trHeight w:val="23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6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Оценка</w:t>
            </w:r>
          </w:p>
        </w:tc>
        <w:tc>
          <w:tcPr>
            <w:tcW w:w="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Плановый период (прогноз)</w:t>
            </w:r>
          </w:p>
        </w:tc>
      </w:tr>
      <w:tr w:rsidR="003B08ED" w:rsidTr="008D6EF0">
        <w:trPr>
          <w:cantSplit/>
          <w:trHeight w:val="23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6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2026</w:t>
            </w:r>
          </w:p>
        </w:tc>
      </w:tr>
      <w:tr w:rsidR="003B08ED" w:rsidTr="008D6EF0">
        <w:trPr>
          <w:cantSplit/>
          <w:trHeight w:val="9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Количество правонарушений, совершенных на территории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2</w:t>
            </w:r>
          </w:p>
        </w:tc>
      </w:tr>
      <w:tr w:rsidR="003B08ED" w:rsidTr="008D6EF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Количество преступлений, совершенных несовершеннолетними на территории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0</w:t>
            </w:r>
          </w:p>
        </w:tc>
      </w:tr>
      <w:tr w:rsidR="003B08ED" w:rsidTr="008D6EF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Количество граждан, стоящих на учете у нарколога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10</w:t>
            </w:r>
          </w:p>
        </w:tc>
      </w:tr>
      <w:tr w:rsidR="003B08ED" w:rsidTr="008D6EF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Количество граждан, повторно совершивших преступление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widowControl/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ED" w:rsidRDefault="003B08ED" w:rsidP="008D6EF0">
            <w:pPr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</w:tr>
    </w:tbl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</w:rPr>
      </w:pPr>
      <w:bookmarkStart w:id="0" w:name="_GoBack"/>
      <w:bookmarkEnd w:id="0"/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3"/>
        <w:jc w:val="center"/>
        <w:rPr>
          <w:sz w:val="28"/>
          <w:szCs w:val="28"/>
        </w:rPr>
      </w:pPr>
    </w:p>
    <w:p w:rsidR="008C3F15" w:rsidRDefault="008C3F15" w:rsidP="008C3F1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F15" w:rsidRDefault="008C3F15" w:rsidP="008C3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2659D" w:rsidRDefault="0092659D"/>
    <w:sectPr w:rsidR="0092659D" w:rsidSect="003B08ED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91F"/>
    <w:multiLevelType w:val="hybridMultilevel"/>
    <w:tmpl w:val="E9A6127C"/>
    <w:lvl w:ilvl="0" w:tplc="F73AFF3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D6E82"/>
    <w:multiLevelType w:val="hybridMultilevel"/>
    <w:tmpl w:val="F044F7E8"/>
    <w:lvl w:ilvl="0" w:tplc="B0A439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84"/>
    <w:rsid w:val="003B08ED"/>
    <w:rsid w:val="007915EE"/>
    <w:rsid w:val="0083718C"/>
    <w:rsid w:val="008C3F15"/>
    <w:rsid w:val="0092659D"/>
    <w:rsid w:val="009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8C3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uiPriority w:val="99"/>
    <w:semiHidden/>
    <w:rsid w:val="008C3F15"/>
    <w:rPr>
      <w:rFonts w:ascii="Consolas" w:eastAsia="Lucida Sans Unicode" w:hAnsi="Consolas" w:cs="Mangal"/>
      <w:kern w:val="2"/>
      <w:sz w:val="20"/>
      <w:szCs w:val="18"/>
      <w:lang w:eastAsia="hi-IN" w:bidi="hi-IN"/>
    </w:rPr>
  </w:style>
  <w:style w:type="paragraph" w:styleId="a3">
    <w:name w:val="Normal (Web)"/>
    <w:basedOn w:val="a"/>
    <w:uiPriority w:val="99"/>
    <w:semiHidden/>
    <w:unhideWhenUsed/>
    <w:rsid w:val="008C3F1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8C3F15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8C3F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C3F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C3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8C3F1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nhideWhenUsed/>
    <w:rsid w:val="008C3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0"/>
    <w:uiPriority w:val="99"/>
    <w:semiHidden/>
    <w:rsid w:val="008C3F15"/>
    <w:rPr>
      <w:rFonts w:ascii="Consolas" w:eastAsia="Lucida Sans Unicode" w:hAnsi="Consolas" w:cs="Mangal"/>
      <w:kern w:val="2"/>
      <w:sz w:val="20"/>
      <w:szCs w:val="18"/>
      <w:lang w:eastAsia="hi-IN" w:bidi="hi-IN"/>
    </w:rPr>
  </w:style>
  <w:style w:type="paragraph" w:styleId="a3">
    <w:name w:val="Normal (Web)"/>
    <w:basedOn w:val="a"/>
    <w:uiPriority w:val="99"/>
    <w:semiHidden/>
    <w:unhideWhenUsed/>
    <w:rsid w:val="008C3F15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uiPriority w:val="34"/>
    <w:qFormat/>
    <w:rsid w:val="008C3F15"/>
    <w:pPr>
      <w:widowControl/>
      <w:suppressAutoHyphens w:val="0"/>
      <w:ind w:left="720"/>
      <w:contextualSpacing/>
    </w:pPr>
    <w:rPr>
      <w:rFonts w:eastAsia="Times New Roman" w:cs="Times New Roman"/>
      <w:b/>
      <w:kern w:val="0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8C3F1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C3F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C3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link w:val="HTML"/>
    <w:locked/>
    <w:rsid w:val="008C3F1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2025-01-30T04:45:00Z</dcterms:created>
  <dcterms:modified xsi:type="dcterms:W3CDTF">2025-01-30T05:23:00Z</dcterms:modified>
</cp:coreProperties>
</file>