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color w:val="000000" w:themeColor="text1"/>
        </w:rPr>
      </w:pPr>
    </w:p>
    <w:p>
      <w:pPr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>
      <w:pPr>
        <w:jc w:val="right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>
        <w:rPr>
          <w:rFonts w:ascii="Segoe UI" w:eastAsiaTheme="minorHAnsi" w:hAnsi="Segoe UI" w:cs="Segoe UI"/>
          <w:b/>
          <w:sz w:val="32"/>
          <w:szCs w:val="32"/>
          <w:lang w:eastAsia="en-US"/>
        </w:rPr>
        <w:t>ПРЕСС-РЕЛИЗ</w:t>
      </w:r>
    </w:p>
    <w:p>
      <w:pPr>
        <w:spacing w:after="160" w:line="276" w:lineRule="auto"/>
        <w:jc w:val="right"/>
        <w:rPr>
          <w:color w:val="000000" w:themeColor="text1"/>
        </w:rPr>
      </w:pPr>
      <w:r>
        <w:rPr>
          <w:rFonts w:ascii="Segoe UI" w:eastAsiaTheme="minorHAnsi" w:hAnsi="Segoe UI" w:cs="Segoe UI"/>
          <w:b/>
          <w:sz w:val="24"/>
          <w:szCs w:val="24"/>
          <w:lang w:eastAsia="en-US"/>
        </w:rPr>
        <w:t>19 марта 2020</w:t>
      </w:r>
    </w:p>
    <w:p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Росреестр: не все арбитражные управляющие сдали экзамен</w:t>
      </w:r>
    </w:p>
    <w:p>
      <w:pPr>
        <w:jc w:val="center"/>
        <w:rPr>
          <w:rFonts w:ascii="Segoe UI" w:hAnsi="Segoe UI" w:cs="Segoe UI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В этом году из 31 выпускника </w:t>
      </w:r>
      <w:r>
        <w:rPr>
          <w:rFonts w:ascii="Segoe UI" w:hAnsi="Segoe UI" w:cs="Segoe UI"/>
          <w:sz w:val="24"/>
          <w:szCs w:val="24"/>
        </w:rPr>
        <w:t>Единой программы подготовки арбитражных управляющих 9 человек теоретический экзамен не сдали.</w:t>
      </w:r>
    </w:p>
    <w:p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Качество процесса признания несостоятельности юридических или физических лиц напрямую зависит от компетентности арбитражного управляющего. В связи с этим экзаменаторы требовательно относятся к потенциальным работникам сферы банкротства, подчеркивая, что эти специалисты должны хорошо знать все нормы российского законодательства.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В связи с тем, что деятельность СРО арбитражных управляющих в Самарской области контролируется Управлением Росреестра, знания выпускников по указанной программе проверяют специалисты указанного ведомства. В этом году из 31 выпускника </w:t>
      </w:r>
      <w:r>
        <w:rPr>
          <w:rFonts w:ascii="Segoe UI" w:hAnsi="Segoe UI" w:cs="Segoe UI"/>
          <w:sz w:val="24"/>
          <w:szCs w:val="24"/>
        </w:rPr>
        <w:t>Единой программы подготовки арбитражных управляющих 9 человек теоретический экзамен не сдали.</w:t>
      </w:r>
    </w:p>
    <w:p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Профессия арбитражного управляющего на сегодня востребована, что обусловлено в том числе возможностью банкротства физических лиц, закрепленной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 федеральным законом. Вне зависимости от того, будет арбитражный управляющий работать с юридическими или физическими лицами, его профессиональная подготовка – в том числе знание российского законодательства - должна быть на высоком профессиональном уровне, - подчеркивает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Ольга Суздальцева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>
      <w:pPr>
        <w:spacing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>
      <w:pPr>
        <w:pStyle w:val="4"/>
        <w:spacing w:line="360" w:lineRule="auto"/>
        <w:ind w:firstLine="708"/>
        <w:jc w:val="both"/>
        <w:rPr>
          <w:rFonts w:ascii="Segoe UI" w:eastAsiaTheme="minorHAnsi" w:hAnsi="Segoe UI" w:cs="Segoe UI"/>
          <w:szCs w:val="24"/>
          <w:lang w:eastAsia="en-US"/>
        </w:rPr>
      </w:pPr>
      <w:r>
        <w:rPr>
          <w:rFonts w:ascii="Segoe UI" w:hAnsi="Segoe UI" w:cs="Segoe UI"/>
          <w:b w:val="0"/>
          <w:color w:val="000000" w:themeColor="text1"/>
          <w:szCs w:val="24"/>
        </w:rPr>
        <w:lastRenderedPageBreak/>
        <w:t xml:space="preserve">Напомним, что сдача экзамена не означает, что с завтрашнего дня бывший студент может заниматься банкротством. Сначала кандидат должен пройти двухгодовую стажировку в качестве помощника арбитражного управляющего в деле о банкротстве. Только после этого он может вступить в СРО арбитражных управляющих и при наличии одного года стажа на руководящей должности и отсутствии дисквалификаций за административное правонарушение решением Арбитражного суда может быть назначен арбитражным управляющим.   </w:t>
      </w:r>
      <w:r>
        <w:rPr>
          <w:rFonts w:ascii="Segoe UI" w:eastAsiaTheme="minorHAnsi" w:hAnsi="Segoe UI" w:cs="Segoe UI"/>
          <w:szCs w:val="24"/>
          <w:lang w:eastAsia="en-US"/>
        </w:rPr>
        <w:t xml:space="preserve"> </w:t>
      </w:r>
    </w:p>
    <w:p>
      <w:pPr>
        <w:spacing w:line="276" w:lineRule="auto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  <w:t>Контакты для СМИ:</w:t>
      </w:r>
    </w:p>
    <w:p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Ольга Никитина, помощник руководителя Управления Росреестра</w:t>
      </w:r>
    </w:p>
    <w:p>
      <w:pPr>
        <w:rPr>
          <w:rFonts w:ascii="Segoe UI" w:eastAsia="Arial Unicode MS" w:hAnsi="Segoe UI" w:cs="Segoe UI"/>
          <w:b/>
          <w:noProof/>
          <w:kern w:val="2"/>
          <w:lang w:eastAsia="sk-SK" w:bidi="hi-IN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(846) 33-22-555, 8 927 690 73 51, </w:t>
      </w:r>
      <w:hyperlink r:id="rId5" w:history="1"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pr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samara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@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mail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proofErr w:type="spellStart"/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руководителя </w:t>
      </w:r>
    </w:p>
    <w:p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Управления                                                                                 О.Г. Суздальцева</w:t>
      </w:r>
    </w:p>
    <w:p>
      <w:pPr>
        <w:spacing w:line="276" w:lineRule="auto"/>
        <w:rPr>
          <w:color w:val="000000" w:themeColor="text1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ABC88-4799-48F9-9F38-0382206E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77</cp:revision>
  <cp:lastPrinted>2020-03-18T14:36:00Z</cp:lastPrinted>
  <dcterms:created xsi:type="dcterms:W3CDTF">2020-03-13T07:33:00Z</dcterms:created>
  <dcterms:modified xsi:type="dcterms:W3CDTF">2020-03-19T09:23:00Z</dcterms:modified>
</cp:coreProperties>
</file>