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20.05.2025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7"/>
        <w:ind w:firstLine="0"/>
        <w:jc w:val="center"/>
        <w:spacing w:line="276" w:lineRule="auto"/>
        <w:rPr>
          <w:rFonts w:ascii="Tinos" w:hAnsi="Tinos" w:eastAsia="Tinos" w:cs="Tinos"/>
          <w:b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Fonts w:ascii="Tinos" w:hAnsi="Tinos" w:eastAsia="Tinos" w:cs="Tinos"/>
          <w:b/>
          <w:bCs/>
          <w:i w:val="0"/>
          <w:strike w:val="0"/>
          <w:color w:val="000000"/>
          <w:sz w:val="28"/>
          <w:szCs w:val="28"/>
          <w:highlight w:val="none"/>
          <w:u w:val="none"/>
        </w:rPr>
        <w:t xml:space="preserve">Пункты ГГС </w:t>
      </w:r>
      <w:r>
        <w:rPr>
          <w:rFonts w:ascii="Tinos" w:hAnsi="Tinos" w:eastAsia="Tinos" w:cs="Tinos"/>
          <w:b/>
          <w:bCs/>
          <w:i w:val="0"/>
          <w:strike w:val="0"/>
          <w:color w:val="000000"/>
          <w:sz w:val="28"/>
          <w:szCs w:val="28"/>
          <w:highlight w:val="none"/>
          <w:u w:val="none"/>
        </w:rPr>
        <w:t xml:space="preserve">под пристальным надзором самарского Росреестра</w:t>
      </w:r>
      <w:r>
        <w:rPr>
          <w:rFonts w:ascii="Tinos" w:hAnsi="Tinos" w:eastAsia="Tinos" w:cs="Tinos"/>
          <w:b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  <w:r>
        <w:rPr>
          <w:rFonts w:ascii="Tinos" w:hAnsi="Tinos" w:eastAsia="Tinos" w:cs="Tinos"/>
          <w:b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pStyle w:val="857"/>
        <w:ind w:firstLine="0"/>
        <w:jc w:val="center"/>
        <w:spacing w:line="276" w:lineRule="auto"/>
        <w:rPr>
          <w:rFonts w:ascii="Tinos" w:hAnsi="Tinos" w:eastAsia="Tinos" w:cs="Tinos"/>
          <w:b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Fonts w:ascii="Tinos" w:hAnsi="Tinos" w:eastAsia="Tinos" w:cs="Tinos"/>
          <w:b/>
          <w:bCs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  <w:r>
        <w:rPr>
          <w:rFonts w:ascii="Tinos" w:hAnsi="Tinos" w:eastAsia="Tinos" w:cs="Tinos"/>
          <w:b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Более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3000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пунктов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геодезической сети (ГГС) и нивелирной сети (ГНС)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было обследовано самарским Росреестром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2022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2025 году специалистам ведомства предстоит обследовать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еще 840 пунктов.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Работа по установлен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ию охранных зон ГГС и ГНС ведется постоянно.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обеспечения сохранности пунктов устанавливаются их охранные зоны. По состоянию на конец 2024 года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Единый государственный реестр недвижимости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внесены сведения о 3028 охранных зонах пунктов,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пределах которых запрещено использование земельных участков для осуществления видов деятельности, приводящих к повреждению или уничтожению их наружных опознавательных знаков, нарушению неизменности местоположения 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центров, уничтожению, перемещению, засыпке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вообладатели объектов недвижимости, на которых находятся указанные пункты, обязаны предоставлять возможность подъезда и подхода к ним при выполнении геодезических и картографических работ, а также при проведении ремонта и восстановления указанных пунктов.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Узнать, установлена ли на конкретном земельном участке охранная зона пункта геодезической сети можно, запросив выписку из Единого государственного реестра недвижимости.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699"/>
    <w:uiPriority w:val="10"/>
    <w:rPr>
      <w:sz w:val="48"/>
      <w:szCs w:val="48"/>
    </w:rPr>
  </w:style>
  <w:style w:type="character" w:styleId="670">
    <w:name w:val="Subtitle Char"/>
    <w:basedOn w:val="687"/>
    <w:link w:val="701"/>
    <w:uiPriority w:val="11"/>
    <w:rPr>
      <w:sz w:val="24"/>
      <w:szCs w:val="24"/>
    </w:rPr>
  </w:style>
  <w:style w:type="character" w:styleId="671">
    <w:name w:val="Quote Char"/>
    <w:link w:val="703"/>
    <w:uiPriority w:val="29"/>
    <w:rPr>
      <w:i/>
    </w:rPr>
  </w:style>
  <w:style w:type="character" w:styleId="672">
    <w:name w:val="Intense Quote Char"/>
    <w:link w:val="705"/>
    <w:uiPriority w:val="30"/>
    <w:rPr>
      <w:i/>
    </w:rPr>
  </w:style>
  <w:style w:type="character" w:styleId="673">
    <w:name w:val="Header Char"/>
    <w:basedOn w:val="687"/>
    <w:link w:val="707"/>
    <w:uiPriority w:val="99"/>
  </w:style>
  <w:style w:type="character" w:styleId="674">
    <w:name w:val="Caption Char"/>
    <w:basedOn w:val="711"/>
    <w:link w:val="709"/>
    <w:uiPriority w:val="99"/>
  </w:style>
  <w:style w:type="character" w:styleId="675">
    <w:name w:val="Footnote Text Char"/>
    <w:link w:val="840"/>
    <w:uiPriority w:val="99"/>
    <w:rPr>
      <w:sz w:val="18"/>
    </w:rPr>
  </w:style>
  <w:style w:type="character" w:styleId="676">
    <w:name w:val="Endnote Text Char"/>
    <w:link w:val="843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7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77"/>
    <w:next w:val="67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  <w:pPr>
      <w:spacing w:after="0"/>
    </w:pPr>
  </w:style>
  <w:style w:type="paragraph" w:styleId="857">
    <w:name w:val="No Spacing"/>
    <w:basedOn w:val="677"/>
    <w:uiPriority w:val="1"/>
    <w:qFormat/>
    <w:pPr>
      <w:spacing w:after="0" w:line="240" w:lineRule="auto"/>
    </w:pPr>
  </w:style>
  <w:style w:type="paragraph" w:styleId="858">
    <w:name w:val="List Paragraph"/>
    <w:basedOn w:val="6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2025-04-09T05:40:00Z</dcterms:created>
  <dcterms:modified xsi:type="dcterms:W3CDTF">2025-05-19T11:33:11Z</dcterms:modified>
</cp:coreProperties>
</file>