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6A" w:rsidRPr="00CD606F" w:rsidRDefault="0026236A" w:rsidP="0026236A">
      <w:pPr>
        <w:pStyle w:val="1"/>
        <w:spacing w:before="0" w:beforeAutospacing="0" w:after="0" w:afterAutospacing="0"/>
        <w:ind w:right="4960"/>
        <w:jc w:val="center"/>
        <w:rPr>
          <w:sz w:val="32"/>
        </w:rPr>
      </w:pPr>
      <w:r w:rsidRPr="00CD606F">
        <w:rPr>
          <w:sz w:val="32"/>
        </w:rPr>
        <w:t>АДМИНИСТРАЦИЯ</w:t>
      </w:r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сельского   поселения</w:t>
      </w:r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ГЕОРГИЕВКА</w:t>
      </w:r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</w:rPr>
      </w:pPr>
      <w:r w:rsidRPr="00CD606F">
        <w:rPr>
          <w:rFonts w:ascii="Times New Roman" w:hAnsi="Times New Roman" w:cs="Times New Roman"/>
          <w:b/>
        </w:rPr>
        <w:t xml:space="preserve">Муниципального района </w:t>
      </w:r>
      <w:proofErr w:type="spellStart"/>
      <w:r w:rsidRPr="00CD606F">
        <w:rPr>
          <w:rFonts w:ascii="Times New Roman" w:hAnsi="Times New Roman" w:cs="Times New Roman"/>
          <w:b/>
        </w:rPr>
        <w:t>Кинельский</w:t>
      </w:r>
      <w:proofErr w:type="spellEnd"/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</w:rPr>
      </w:pPr>
      <w:r w:rsidRPr="00CD606F">
        <w:rPr>
          <w:rFonts w:ascii="Times New Roman" w:hAnsi="Times New Roman" w:cs="Times New Roman"/>
          <w:b/>
        </w:rPr>
        <w:t>Самарской области</w:t>
      </w:r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72F4C" w:rsidRPr="00472F4C" w:rsidRDefault="00472F4C" w:rsidP="00472F4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12.02.2020г.                  22</w:t>
      </w:r>
    </w:p>
    <w:p w:rsidR="0026236A" w:rsidRPr="00CD606F" w:rsidRDefault="0026236A" w:rsidP="0026236A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от___________________№_______</w:t>
      </w:r>
    </w:p>
    <w:p w:rsidR="0026236A" w:rsidRPr="00CD606F" w:rsidRDefault="0026236A" w:rsidP="0026236A">
      <w:pPr>
        <w:spacing w:after="0" w:line="240" w:lineRule="auto"/>
        <w:ind w:right="5810"/>
        <w:rPr>
          <w:rFonts w:ascii="Times New Roman" w:hAnsi="Times New Roman" w:cs="Times New Roman"/>
        </w:rPr>
      </w:pPr>
    </w:p>
    <w:p w:rsidR="00472F4C" w:rsidRDefault="00CD606F" w:rsidP="00333FF2">
      <w:pPr>
        <w:shd w:val="clear" w:color="auto" w:fill="FFFFFF"/>
        <w:spacing w:after="0" w:line="240" w:lineRule="auto"/>
        <w:ind w:right="4959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r w:rsidRPr="00CD606F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сельского поселения Георгиевка </w:t>
      </w:r>
    </w:p>
    <w:p w:rsidR="00333FF2" w:rsidRPr="00CD606F" w:rsidRDefault="00CD606F" w:rsidP="00333FF2">
      <w:pPr>
        <w:shd w:val="clear" w:color="auto" w:fill="FFFFFF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D606F">
        <w:rPr>
          <w:rFonts w:ascii="Times New Roman" w:hAnsi="Times New Roman" w:cs="Times New Roman"/>
          <w:b/>
          <w:sz w:val="28"/>
        </w:rPr>
        <w:t xml:space="preserve">№ 219 от 10.12.2015г. «Об утверждении Порядка </w:t>
      </w:r>
      <w:r w:rsidRPr="00CD606F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</w:t>
      </w:r>
    </w:p>
    <w:bookmarkEnd w:id="0"/>
    <w:p w:rsidR="0026236A" w:rsidRPr="00CD606F" w:rsidRDefault="0026236A" w:rsidP="0026236A">
      <w:pPr>
        <w:pStyle w:val="ConsPlusTitle"/>
        <w:ind w:right="4960"/>
        <w:rPr>
          <w:rFonts w:ascii="Times New Roman" w:hAnsi="Times New Roman" w:cs="Times New Roman"/>
          <w:sz w:val="28"/>
          <w:szCs w:val="28"/>
        </w:rPr>
      </w:pPr>
    </w:p>
    <w:p w:rsidR="0026236A" w:rsidRPr="00CD606F" w:rsidRDefault="0026236A" w:rsidP="0026236A">
      <w:pPr>
        <w:pStyle w:val="ConsPlusNormal"/>
        <w:jc w:val="both"/>
      </w:pPr>
    </w:p>
    <w:p w:rsidR="0026236A" w:rsidRPr="00CD606F" w:rsidRDefault="00CD606F" w:rsidP="00CD60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</w:rPr>
        <w:t xml:space="preserve">В соответствии со статьей 78 Бюджетного кодекса Российской Федерации и новой редакцией Порядка предоставления субсидий из областного бюджета местным бюджетам в целях </w:t>
      </w:r>
      <w:proofErr w:type="spellStart"/>
      <w:r w:rsidRPr="00CD606F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CD606F">
        <w:rPr>
          <w:rFonts w:ascii="Times New Roman" w:hAnsi="Times New Roman" w:cs="Times New Roman"/>
          <w:sz w:val="28"/>
        </w:rPr>
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 деятельности народных дружин, утвержденного Постановлением Правительства Самарской области от 29.03.2017 года № 198</w:t>
      </w:r>
      <w:r w:rsidRPr="00CD606F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gramStart"/>
      <w:r w:rsidRPr="00CD606F">
        <w:rPr>
          <w:rFonts w:ascii="Times New Roman" w:hAnsi="Times New Roman" w:cs="Times New Roman"/>
          <w:sz w:val="28"/>
          <w:szCs w:val="28"/>
        </w:rPr>
        <w:t>Георгиевка</w:t>
      </w:r>
      <w:r w:rsidRPr="00CD606F">
        <w:rPr>
          <w:rFonts w:ascii="Times New Roman" w:hAnsi="Times New Roman" w:cs="Times New Roman"/>
          <w:sz w:val="28"/>
          <w:szCs w:val="28"/>
          <w:lang w:val="he-IL"/>
        </w:rPr>
        <w:t xml:space="preserve"> </w:t>
      </w:r>
      <w:r w:rsidRPr="00CD606F">
        <w:rPr>
          <w:rFonts w:ascii="Times New Roman" w:hAnsi="Times New Roman" w:cs="Times New Roman"/>
          <w:sz w:val="28"/>
          <w:szCs w:val="28"/>
        </w:rPr>
        <w:t xml:space="preserve"> </w:t>
      </w:r>
      <w:r w:rsidR="0026236A" w:rsidRPr="00CD606F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26236A" w:rsidRPr="00CD606F">
        <w:rPr>
          <w:rFonts w:ascii="Times New Roman" w:hAnsi="Times New Roman" w:cs="Times New Roman"/>
          <w:sz w:val="28"/>
          <w:szCs w:val="28"/>
        </w:rPr>
        <w:t>:</w:t>
      </w:r>
    </w:p>
    <w:p w:rsidR="0026236A" w:rsidRPr="00CD606F" w:rsidRDefault="0026236A" w:rsidP="00CD606F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1. </w:t>
      </w:r>
      <w:r w:rsidR="00CD606F" w:rsidRPr="00CD606F">
        <w:rPr>
          <w:sz w:val="28"/>
        </w:rPr>
        <w:t>Внести в постановление администрации сельского поселения Георгиевка № 219 от 10.12.2015г. «</w:t>
      </w:r>
      <w:r w:rsidR="00CD606F" w:rsidRPr="00CD606F">
        <w:rPr>
          <w:sz w:val="28"/>
          <w:szCs w:val="22"/>
        </w:rPr>
        <w:t xml:space="preserve">Об утверждении Порядка </w:t>
      </w:r>
      <w:r w:rsidR="00CD606F" w:rsidRPr="00CD606F">
        <w:rPr>
          <w:sz w:val="28"/>
          <w:szCs w:val="28"/>
        </w:rPr>
        <w:t xml:space="preserve">предоставления субсидий из бюджета сельского поселения Георгиевка муниципального района </w:t>
      </w:r>
      <w:proofErr w:type="spellStart"/>
      <w:r w:rsidR="00CD606F" w:rsidRPr="00CD606F">
        <w:rPr>
          <w:sz w:val="28"/>
          <w:szCs w:val="28"/>
        </w:rPr>
        <w:t>Кинельский</w:t>
      </w:r>
      <w:proofErr w:type="spellEnd"/>
      <w:r w:rsidR="00CD606F" w:rsidRPr="00CD606F">
        <w:rPr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</w:t>
      </w:r>
      <w:r w:rsidR="00CD606F" w:rsidRPr="00CD606F">
        <w:rPr>
          <w:sz w:val="28"/>
          <w:szCs w:val="28"/>
        </w:rPr>
        <w:lastRenderedPageBreak/>
        <w:t xml:space="preserve">порядка на территории сельского поселения Георгиевка муниципального района </w:t>
      </w:r>
      <w:proofErr w:type="spellStart"/>
      <w:r w:rsidR="00CD606F" w:rsidRPr="00CD606F">
        <w:rPr>
          <w:sz w:val="28"/>
          <w:szCs w:val="28"/>
        </w:rPr>
        <w:t>Кинельский</w:t>
      </w:r>
      <w:proofErr w:type="spellEnd"/>
      <w:r w:rsidR="00CD606F" w:rsidRPr="00CD606F">
        <w:rPr>
          <w:sz w:val="28"/>
          <w:szCs w:val="28"/>
        </w:rPr>
        <w:t xml:space="preserve"> Самарской области» (далее – постановление) следующие изменения:</w:t>
      </w:r>
    </w:p>
    <w:p w:rsidR="00CD606F" w:rsidRPr="00CD606F" w:rsidRDefault="00CD606F" w:rsidP="00CD606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.</w:t>
      </w:r>
      <w:r w:rsidRPr="00CD606F">
        <w:rPr>
          <w:rFonts w:ascii="Times New Roman" w:hAnsi="Times New Roman" w:cs="Times New Roman"/>
          <w:sz w:val="28"/>
        </w:rPr>
        <w:t xml:space="preserve"> Пункт 1.2 </w:t>
      </w:r>
      <w:r w:rsidR="003437CE">
        <w:rPr>
          <w:rFonts w:ascii="Times New Roman" w:hAnsi="Times New Roman" w:cs="Times New Roman"/>
          <w:sz w:val="28"/>
        </w:rPr>
        <w:t xml:space="preserve">приложения к постановлению </w:t>
      </w:r>
      <w:r w:rsidRPr="00CD606F">
        <w:rPr>
          <w:rFonts w:ascii="Times New Roman" w:hAnsi="Times New Roman" w:cs="Times New Roman"/>
          <w:sz w:val="28"/>
        </w:rPr>
        <w:t>изложить в новой редакции:</w:t>
      </w:r>
    </w:p>
    <w:p w:rsidR="00CD606F" w:rsidRPr="00CD606F" w:rsidRDefault="003437CE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«1.2. С</w:t>
      </w:r>
      <w:r w:rsidR="00CD606F" w:rsidRPr="00CD606F">
        <w:rPr>
          <w:rFonts w:ascii="Times New Roman" w:hAnsi="Times New Roman" w:cs="Times New Roman"/>
          <w:sz w:val="28"/>
        </w:rPr>
        <w:t>редства Субсидии подлежат направлению на следующие цели: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материальное стимулирование деятельности народных дружинников;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 xml:space="preserve">-возмещение расходов на личное страхование народных дружинников на период их участия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</w:rPr>
        <w:t xml:space="preserve"> Самарской области;   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 xml:space="preserve">- возмещение расходов на приобретение материально-технических средств для осуществления деятельности народных дружинников, участвующих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</w:rPr>
        <w:t xml:space="preserve"> Самарской области (канцелярские и хозяйственные товары, оргтехника, программное обеспечение, расходные материалы и запасные части к оргтехнике, удостоверения, горюче-смазочные материалы, аренда транспортных средств);   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приобретение форменной одежды народного дружинника и знака народного дружинника;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оплату услуг санаторно-курортного лечения народных дружинников;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оплату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денежная компенсация за использование личного транспорта для доставки сотрудников ДНД на дежурство;</w:t>
      </w:r>
    </w:p>
    <w:p w:rsidR="00CD606F" w:rsidRPr="00CD606F" w:rsidRDefault="00CD606F" w:rsidP="00CD606F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выплата заработной платы и перечисление страховых взносов с заработной платы сотрудников административно-управленческого персонала, входящих в штат ДНД.».</w:t>
      </w:r>
    </w:p>
    <w:p w:rsidR="0026236A" w:rsidRPr="00CD606F" w:rsidRDefault="0026236A" w:rsidP="00CD60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  <w:szCs w:val="28"/>
        </w:rPr>
        <w:t>2.</w:t>
      </w:r>
      <w:r w:rsidR="00985DD9" w:rsidRPr="00CD606F">
        <w:rPr>
          <w:rFonts w:ascii="Times New Roman" w:hAnsi="Times New Roman" w:cs="Times New Roman"/>
          <w:sz w:val="28"/>
          <w:szCs w:val="28"/>
        </w:rPr>
        <w:t xml:space="preserve"> </w:t>
      </w:r>
      <w:r w:rsidRPr="00CD606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«Георгиевский вестник».</w:t>
      </w:r>
    </w:p>
    <w:p w:rsidR="0026236A" w:rsidRPr="00CD606F" w:rsidRDefault="00CD606F" w:rsidP="00CD60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  <w:szCs w:val="28"/>
        </w:rPr>
        <w:t>3</w:t>
      </w:r>
      <w:r w:rsidR="0026236A" w:rsidRPr="00CD606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6236A" w:rsidRPr="00CD606F" w:rsidRDefault="00CD606F" w:rsidP="00CD60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  <w:szCs w:val="28"/>
        </w:rPr>
        <w:t>4</w:t>
      </w:r>
      <w:r w:rsidR="0026236A" w:rsidRPr="00CD60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26236A" w:rsidRPr="00CD606F" w:rsidRDefault="0026236A" w:rsidP="0026236A">
      <w:pPr>
        <w:pStyle w:val="ConsPlusNormal"/>
        <w:ind w:firstLine="540"/>
        <w:jc w:val="both"/>
        <w:rPr>
          <w:sz w:val="28"/>
          <w:szCs w:val="28"/>
        </w:rPr>
      </w:pPr>
    </w:p>
    <w:p w:rsidR="0026236A" w:rsidRPr="00CD606F" w:rsidRDefault="0026236A" w:rsidP="0026236A">
      <w:pPr>
        <w:pStyle w:val="ConsPlusNormal"/>
        <w:ind w:firstLine="540"/>
        <w:jc w:val="both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 xml:space="preserve">Глава сельского поселения </w:t>
      </w:r>
    </w:p>
    <w:p w:rsidR="0026236A" w:rsidRPr="00CD606F" w:rsidRDefault="0026236A" w:rsidP="0026236A">
      <w:pPr>
        <w:pStyle w:val="ConsPlusNormal"/>
        <w:ind w:firstLine="540"/>
        <w:jc w:val="both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 xml:space="preserve">Георгиевка                                                                          </w:t>
      </w:r>
      <w:proofErr w:type="spellStart"/>
      <w:r w:rsidRPr="00CD606F">
        <w:rPr>
          <w:b/>
          <w:sz w:val="28"/>
          <w:szCs w:val="28"/>
        </w:rPr>
        <w:t>Н.В.Алясина</w:t>
      </w:r>
      <w:proofErr w:type="spellEnd"/>
    </w:p>
    <w:p w:rsidR="0026236A" w:rsidRPr="00CD606F" w:rsidRDefault="0026236A" w:rsidP="0026236A">
      <w:pPr>
        <w:pStyle w:val="ConsPlusNormal"/>
        <w:jc w:val="both"/>
        <w:rPr>
          <w:b/>
          <w:sz w:val="28"/>
          <w:szCs w:val="28"/>
        </w:rPr>
      </w:pPr>
    </w:p>
    <w:p w:rsidR="0026236A" w:rsidRPr="00CD606F" w:rsidRDefault="0026236A" w:rsidP="0026236A">
      <w:pPr>
        <w:pStyle w:val="ConsPlusNormal"/>
        <w:jc w:val="both"/>
        <w:rPr>
          <w:sz w:val="28"/>
          <w:szCs w:val="28"/>
        </w:rPr>
      </w:pPr>
    </w:p>
    <w:p w:rsidR="0026236A" w:rsidRPr="00CD606F" w:rsidRDefault="0026236A" w:rsidP="0026236A">
      <w:pPr>
        <w:pStyle w:val="ConsPlusNormal"/>
        <w:jc w:val="both"/>
        <w:rPr>
          <w:sz w:val="28"/>
          <w:szCs w:val="28"/>
        </w:rPr>
      </w:pPr>
    </w:p>
    <w:p w:rsidR="00985DD9" w:rsidRPr="00CD606F" w:rsidRDefault="00CD606F" w:rsidP="00CD606F">
      <w:pPr>
        <w:pStyle w:val="ConsPlusNormal"/>
        <w:rPr>
          <w:sz w:val="20"/>
          <w:szCs w:val="28"/>
        </w:rPr>
        <w:sectPr w:rsidR="00985DD9" w:rsidRPr="00CD606F" w:rsidSect="0026236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D606F">
        <w:rPr>
          <w:sz w:val="20"/>
          <w:szCs w:val="28"/>
        </w:rPr>
        <w:t>2-72-36</w:t>
      </w:r>
    </w:p>
    <w:p w:rsidR="00CD606F" w:rsidRPr="00CD606F" w:rsidRDefault="00CD606F" w:rsidP="00CD606F">
      <w:pPr>
        <w:tabs>
          <w:tab w:val="left" w:pos="7634"/>
        </w:tabs>
        <w:ind w:left="4253"/>
        <w:jc w:val="center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D606F" w:rsidRPr="00CD606F" w:rsidRDefault="00CD606F" w:rsidP="00CD606F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CD606F" w:rsidRPr="00CD606F" w:rsidRDefault="00CD606F" w:rsidP="00CD606F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D606F">
        <w:rPr>
          <w:rFonts w:ascii="Times New Roman" w:hAnsi="Times New Roman" w:cs="Times New Roman"/>
          <w:sz w:val="28"/>
        </w:rPr>
        <w:t>№ 219 от 10.12.2015 г.</w:t>
      </w:r>
    </w:p>
    <w:p w:rsidR="00CD606F" w:rsidRPr="00CD606F" w:rsidRDefault="00CD606F" w:rsidP="00CD60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606F" w:rsidRPr="00CD606F" w:rsidRDefault="00CD606F" w:rsidP="00CD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D606F" w:rsidRDefault="00CD606F" w:rsidP="00CD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:rsidR="003437CE" w:rsidRPr="00CD606F" w:rsidRDefault="003437CE" w:rsidP="00CD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</w:t>
      </w:r>
      <w:r w:rsidR="00472F4C">
        <w:rPr>
          <w:rFonts w:ascii="Times New Roman" w:hAnsi="Times New Roman" w:cs="Times New Roman"/>
          <w:b/>
          <w:sz w:val="28"/>
          <w:szCs w:val="28"/>
        </w:rPr>
        <w:t xml:space="preserve">№ 22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2F4C">
        <w:rPr>
          <w:rFonts w:ascii="Times New Roman" w:hAnsi="Times New Roman" w:cs="Times New Roman"/>
          <w:b/>
          <w:sz w:val="28"/>
          <w:szCs w:val="28"/>
        </w:rPr>
        <w:t>12.02.</w:t>
      </w:r>
      <w:r>
        <w:rPr>
          <w:rFonts w:ascii="Times New Roman" w:hAnsi="Times New Roman" w:cs="Times New Roman"/>
          <w:b/>
          <w:sz w:val="28"/>
          <w:szCs w:val="28"/>
        </w:rPr>
        <w:t>2020г.)</w:t>
      </w:r>
    </w:p>
    <w:p w:rsidR="00CD606F" w:rsidRPr="00CD606F" w:rsidRDefault="00CD606F" w:rsidP="00CD6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6F" w:rsidRPr="00CD606F" w:rsidRDefault="00CD606F" w:rsidP="00CD606F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6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606F" w:rsidRPr="00CD606F" w:rsidRDefault="00CD606F" w:rsidP="00CD606F">
      <w:pPr>
        <w:pStyle w:val="ConsPlusNormal"/>
        <w:numPr>
          <w:ilvl w:val="1"/>
          <w:numId w:val="2"/>
        </w:numPr>
        <w:suppressAutoHyphens w:val="0"/>
        <w:autoSpaceDN w:val="0"/>
        <w:ind w:left="0"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Настоящий Порядок определяет механизм определения объема и предоставления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sz w:val="28"/>
          <w:szCs w:val="28"/>
        </w:rPr>
        <w:t>Кинельский</w:t>
      </w:r>
      <w:proofErr w:type="spellEnd"/>
      <w:r w:rsidRPr="00CD606F">
        <w:rPr>
          <w:sz w:val="28"/>
          <w:szCs w:val="28"/>
        </w:rPr>
        <w:t xml:space="preserve"> Самарской области (далее - субсидия), - народным дружинам (далее - ДНД) из бюджета сельского поселения Георгиевка муниципального района </w:t>
      </w:r>
      <w:proofErr w:type="spellStart"/>
      <w:r w:rsidRPr="00CD606F">
        <w:rPr>
          <w:sz w:val="28"/>
          <w:szCs w:val="28"/>
        </w:rPr>
        <w:t>Кинельский</w:t>
      </w:r>
      <w:proofErr w:type="spellEnd"/>
      <w:r w:rsidRPr="00CD606F">
        <w:rPr>
          <w:sz w:val="28"/>
          <w:szCs w:val="28"/>
        </w:rPr>
        <w:t xml:space="preserve"> Самарской области.</w:t>
      </w:r>
    </w:p>
    <w:p w:rsidR="003437CE" w:rsidRDefault="00CD606F" w:rsidP="003437CE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Предоставление Субсидий осуществляется в течение финансового года администрацией сельского поселения Георгиевка муниципального района </w:t>
      </w:r>
      <w:proofErr w:type="spellStart"/>
      <w:r w:rsidRPr="00CD606F">
        <w:rPr>
          <w:sz w:val="28"/>
          <w:szCs w:val="28"/>
        </w:rPr>
        <w:t>Кинельский</w:t>
      </w:r>
      <w:proofErr w:type="spellEnd"/>
      <w:r w:rsidRPr="00CD606F">
        <w:rPr>
          <w:sz w:val="28"/>
          <w:szCs w:val="28"/>
        </w:rPr>
        <w:t xml:space="preserve"> Самарской области в соответствии со сводной бюджетной росписью бюджета сельского поселения Георгиевка муниципального района </w:t>
      </w:r>
      <w:proofErr w:type="spellStart"/>
      <w:r w:rsidRPr="00CD606F">
        <w:rPr>
          <w:sz w:val="28"/>
          <w:szCs w:val="28"/>
        </w:rPr>
        <w:t>Кинельский</w:t>
      </w:r>
      <w:proofErr w:type="spellEnd"/>
      <w:r w:rsidRPr="00CD606F">
        <w:rPr>
          <w:sz w:val="28"/>
          <w:szCs w:val="28"/>
        </w:rPr>
        <w:t xml:space="preserve"> Самарской области в пределах лимитов, предусмотренных на эти цели решением Собрания представителей сельского поселения Георгиевка муниципального района </w:t>
      </w:r>
      <w:proofErr w:type="spellStart"/>
      <w:r w:rsidRPr="00CD606F">
        <w:rPr>
          <w:sz w:val="28"/>
          <w:szCs w:val="28"/>
        </w:rPr>
        <w:t>Кинельский</w:t>
      </w:r>
      <w:proofErr w:type="spellEnd"/>
      <w:r w:rsidRPr="00CD606F">
        <w:rPr>
          <w:sz w:val="28"/>
          <w:szCs w:val="28"/>
        </w:rPr>
        <w:t xml:space="preserve"> Самарской области.</w:t>
      </w:r>
      <w:r w:rsidR="003437CE">
        <w:rPr>
          <w:sz w:val="28"/>
          <w:szCs w:val="28"/>
        </w:rPr>
        <w:t xml:space="preserve"> </w:t>
      </w:r>
    </w:p>
    <w:p w:rsidR="003437CE" w:rsidRPr="00CD606F" w:rsidRDefault="003437CE" w:rsidP="003437C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1.2. С</w:t>
      </w:r>
      <w:r w:rsidRPr="00CD606F">
        <w:rPr>
          <w:sz w:val="28"/>
        </w:rPr>
        <w:t>редства Субсидии подлежат направлению на следующие цели: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материальное стимулирование деятельности народных дружинников;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 xml:space="preserve">-возмещение расходов на личное страхование народных дружинников на период их участия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</w:rPr>
        <w:t xml:space="preserve"> Самарской области;   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lastRenderedPageBreak/>
        <w:t xml:space="preserve">- возмещение расходов на приобретение материально-технических средств для осуществления деятельности народных дружинников, участвующих в охране общественного порядка на территории сельского поселения Георгиевка муниципального района </w:t>
      </w:r>
      <w:proofErr w:type="spellStart"/>
      <w:r w:rsidRPr="00CD606F">
        <w:rPr>
          <w:rFonts w:ascii="Times New Roman" w:hAnsi="Times New Roman" w:cs="Times New Roman"/>
          <w:sz w:val="28"/>
        </w:rPr>
        <w:t>Кинельский</w:t>
      </w:r>
      <w:proofErr w:type="spellEnd"/>
      <w:r w:rsidRPr="00CD606F">
        <w:rPr>
          <w:rFonts w:ascii="Times New Roman" w:hAnsi="Times New Roman" w:cs="Times New Roman"/>
          <w:sz w:val="28"/>
        </w:rPr>
        <w:t xml:space="preserve"> Самарской области (канцелярские и хозяйственные товары, оргтехника, программное обеспечение, расходные материалы и запасные части к оргтехнике, удостоверения, горюче-смазочные материалы, аренда транспортных средств);   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приобретение форменной одежды народного дружинника и знака народного дружинника;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оплату услуг санаторно-курортного лечения народных дружинников;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возмещение расходов на оплату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3437CE" w:rsidRPr="00CD606F" w:rsidRDefault="003437CE" w:rsidP="003437CE">
      <w:pPr>
        <w:tabs>
          <w:tab w:val="left" w:pos="680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06F">
        <w:rPr>
          <w:rFonts w:ascii="Times New Roman" w:hAnsi="Times New Roman" w:cs="Times New Roman"/>
          <w:sz w:val="28"/>
        </w:rPr>
        <w:t>- денежная компенсация за использование личного транспорта для доставки сотрудников ДНД на дежурство;</w:t>
      </w:r>
    </w:p>
    <w:p w:rsidR="00CD606F" w:rsidRPr="003437CE" w:rsidRDefault="003437CE" w:rsidP="003437CE">
      <w:pPr>
        <w:pStyle w:val="a5"/>
        <w:ind w:left="0" w:firstLine="709"/>
        <w:jc w:val="both"/>
        <w:rPr>
          <w:b w:val="0"/>
        </w:rPr>
      </w:pPr>
      <w:r w:rsidRPr="00CD606F">
        <w:t xml:space="preserve">- </w:t>
      </w:r>
      <w:r w:rsidRPr="003437CE">
        <w:rPr>
          <w:b w:val="0"/>
        </w:rPr>
        <w:t>выплата заработной платы и перечисление страховых взносов с заработной платы сотрудников административно-управленческого персонала, входящих в штат ДНД.</w:t>
      </w:r>
    </w:p>
    <w:p w:rsidR="00CD606F" w:rsidRPr="00CD606F" w:rsidRDefault="003437CE" w:rsidP="003437CE">
      <w:pPr>
        <w:pStyle w:val="ConsPlusNormal"/>
        <w:suppressAutoHyphens w:val="0"/>
        <w:autoSpaceDN w:val="0"/>
        <w:spacing w:after="120"/>
        <w:ind w:firstLine="709"/>
        <w:jc w:val="both"/>
        <w:rPr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t xml:space="preserve">1.3. </w:t>
      </w:r>
      <w:r w:rsidR="00CD606F" w:rsidRPr="00CD606F">
        <w:rPr>
          <w:sz w:val="28"/>
          <w:szCs w:val="28"/>
        </w:rPr>
        <w:t xml:space="preserve">Субсидии предоставляются ДНД, осуществляющим в соответствии с учредительными документами оказание содействия органам внутренних дел (полиции) и иным правоохранительным органам, органам местного самоуправления в охране общественного порядка на территории сельского поселения Георгиевка муниципального района </w:t>
      </w:r>
      <w:proofErr w:type="spellStart"/>
      <w:r w:rsidR="00CD606F" w:rsidRPr="00CD606F">
        <w:rPr>
          <w:sz w:val="28"/>
          <w:szCs w:val="28"/>
        </w:rPr>
        <w:t>Кинельский</w:t>
      </w:r>
      <w:proofErr w:type="spellEnd"/>
      <w:r w:rsidR="00CD606F" w:rsidRPr="00CD606F">
        <w:rPr>
          <w:sz w:val="28"/>
          <w:szCs w:val="28"/>
        </w:rPr>
        <w:t xml:space="preserve"> Самарской области, в пресечении преступлений и административных правонарушений, в профилактической работе с лицами, склонными к совершению преступлений, по предупреждению детской безнадзорности и правонарушений несовершеннолетних и пресечении экстремистской деятельности. </w:t>
      </w:r>
    </w:p>
    <w:p w:rsidR="00CD606F" w:rsidRPr="00CD606F" w:rsidRDefault="00CD606F" w:rsidP="00CD606F">
      <w:pPr>
        <w:pStyle w:val="ConsPlusNormal"/>
        <w:jc w:val="center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>2. Порядок представления пакета документов ДНД</w:t>
      </w:r>
    </w:p>
    <w:p w:rsidR="00CD606F" w:rsidRPr="00CD606F" w:rsidRDefault="00CD606F" w:rsidP="00CD606F">
      <w:pPr>
        <w:pStyle w:val="ConsPlusNormal"/>
        <w:jc w:val="center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>для предоставления субсидии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bookmarkStart w:id="2" w:name="P77"/>
      <w:bookmarkEnd w:id="2"/>
      <w:r w:rsidRPr="00CD606F">
        <w:rPr>
          <w:sz w:val="28"/>
          <w:szCs w:val="28"/>
        </w:rPr>
        <w:t>2.1. В целях предоставления субсидий ДНД представляют в администрацию сельского поселения Георгиевка следующие документы: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заявление на предоставление субсидии (далее - заявление) по форме согласно приложению 1 к настоящему Порядку, подписанное командиром ДНД и заверенное ее печатью;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выписку из Единого государственного реестра юридических лиц, выданную не позднее, чем за десять календарных дней до дня представления заявления;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копию учредительных документов ДНД;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копию документа, подтверждающего факт избрания командира ДНД;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копию договора с кредитной организацией об открытии операционно-кассового обслуживания;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- справку налогового органа об отсутствии просроченной задолженности по платежам в бюджет любого уровня, выданную не ранее чем за тридцать дней </w:t>
      </w:r>
      <w:r w:rsidRPr="00CD606F">
        <w:rPr>
          <w:sz w:val="28"/>
          <w:szCs w:val="28"/>
        </w:rPr>
        <w:lastRenderedPageBreak/>
        <w:t>до дня представления заявления;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копию документа(</w:t>
      </w:r>
      <w:proofErr w:type="spellStart"/>
      <w:r w:rsidRPr="00CD606F">
        <w:rPr>
          <w:sz w:val="28"/>
          <w:szCs w:val="28"/>
        </w:rPr>
        <w:t>ов</w:t>
      </w:r>
      <w:proofErr w:type="spellEnd"/>
      <w:r w:rsidRPr="00CD606F">
        <w:rPr>
          <w:sz w:val="28"/>
          <w:szCs w:val="28"/>
        </w:rPr>
        <w:t>), подтверждающего(их) численность ДНД;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копии документов подтверждающих фактические расходы на цели, указанные в пункте 1.3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копию документа, подтверждающего факт внесения ДНД в реестр народных дружин и общественных объединений правоохранительной направленности в Самарской области;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- указанные в настоящем пункте копии документов представляются в администрацию сельского поселения Георгиевка с предъявлением оригиналов для сверки либо заверенные в порядке, предусмотренном действующим законодательством Российской Федерации.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2.2. </w:t>
      </w:r>
      <w:bookmarkStart w:id="3" w:name="P91"/>
      <w:bookmarkEnd w:id="3"/>
      <w:r w:rsidRPr="00CD606F">
        <w:rPr>
          <w:sz w:val="28"/>
          <w:szCs w:val="28"/>
        </w:rPr>
        <w:t xml:space="preserve">Документы, указанные в пункте 2.1 настоящего Порядка, представляются ДНД в администрацию сельского поселения в следующие сроки: с 1- </w:t>
      </w:r>
      <w:proofErr w:type="spellStart"/>
      <w:r w:rsidRPr="00CD606F">
        <w:rPr>
          <w:sz w:val="28"/>
          <w:szCs w:val="28"/>
        </w:rPr>
        <w:t>го</w:t>
      </w:r>
      <w:proofErr w:type="spellEnd"/>
      <w:r w:rsidRPr="00CD606F">
        <w:rPr>
          <w:sz w:val="28"/>
          <w:szCs w:val="28"/>
        </w:rPr>
        <w:t xml:space="preserve"> по 10 число месяца следующего за месяцем в котором у ДНД образовались фактические расходы на цели указанные в п.1.3 настоящего порядка. По фактическим расходам на цели указанные в п.1.3 настоящего порядка образовавшимся в декабре, до 25 декабря текущего года.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2.3. Администрация сельского поселения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2.3.1. Осуществляет прием документов, представленных в соответствии с пунктом 2.1 настоящего Порядка, и, при отсутствии оснований для отказа в приеме документов, их регистрацию.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При наличии оснований для отказа в приеме документов, предусмотренных пунктом 2.5 настоящего Порядка, администрация сельского поселения Георгиевка уведомляет о них ДНД, разъясняет их содержание и возвращает документы для устранения недостатков.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2.4.2. Заверяет копии документов, представленных в соответствии с пунктом 2.1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2.5. Основаниями для отказа в приеме администрацией сельского поселения Георгиевка документов, представляемых ДНД, являются: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2.5.1. Отсутствие полного пакета документов, указанного в пункте 2.1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2.5.2. Несоответствие заявления форме, установленной приложением 1 к настоящему Порядку;</w:t>
      </w:r>
    </w:p>
    <w:p w:rsidR="00CD606F" w:rsidRPr="00CD606F" w:rsidRDefault="00CD606F" w:rsidP="00CD606F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2.5.3. Представление пакета документов в сроки, отличные от срока, указанного в 2.2 настоящего Порядка.</w:t>
      </w:r>
    </w:p>
    <w:p w:rsidR="00CD606F" w:rsidRPr="00CD606F" w:rsidRDefault="00CD606F" w:rsidP="00CD606F">
      <w:pPr>
        <w:pStyle w:val="ConsPlusNormal"/>
        <w:jc w:val="center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>3. Порядок предоставления субсидии ДНД, основания</w:t>
      </w:r>
    </w:p>
    <w:p w:rsidR="00CD606F" w:rsidRPr="00CD606F" w:rsidRDefault="00CD606F" w:rsidP="00CD606F">
      <w:pPr>
        <w:pStyle w:val="ConsPlusNormal"/>
        <w:jc w:val="center"/>
        <w:rPr>
          <w:b/>
          <w:sz w:val="28"/>
          <w:szCs w:val="28"/>
        </w:rPr>
      </w:pPr>
      <w:r w:rsidRPr="00CD606F">
        <w:rPr>
          <w:b/>
          <w:sz w:val="28"/>
          <w:szCs w:val="28"/>
        </w:rPr>
        <w:t>для отказа в ее предоставлении. Определение объема субсидии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3.1. Отбор ДНД, представивших документы, указанные в пункте 2.1 настоящего Порядка, осуществляется комиссией по предоставлению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Сельского поселения Георгиевка (далее - Комиссия) на основании критериев оценки, указанных в приложении 2 к настоящему Порядку, с использованием балльного метода.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Подсчет баллов осуществляется Комиссией путем их суммирования. Результаты заносятся в протокол заседания Комиссии.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lastRenderedPageBreak/>
        <w:t>Положение о Комиссии, регламентирующее порядок ее работы, а также состав Комиссии утверждаются постановлением администрации сельского поселения Георгиевка.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На основании протокола заседания Комиссии администрация сельского поселения Георгиевка выносит постановление о предоставлении субсидий, либо мотивированный отказ в предоставлении субсидий.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bookmarkStart w:id="4" w:name="P115"/>
      <w:bookmarkEnd w:id="4"/>
      <w:r w:rsidRPr="00CD606F">
        <w:rPr>
          <w:sz w:val="28"/>
          <w:szCs w:val="28"/>
        </w:rPr>
        <w:t>3.2. Субсидия предоставляется единственной ДНД, набравшей при отборе наибольшее количество баллов.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При равном количестве баллов у двух и более ДНД субсидия предоставляется ДНД, ранее представившей документы, указанные в пункте 2.1 настоящего Порядка, что определяется по журналу регистрации заявлений.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В случае если в соответствии с пунктом 2.1 настоящего Порядка представлен один пакет документов, субсидия предоставляется ДНД, представившей данный пакет документов (при отсутствии оснований для отказа в предоставлении субсидии, указанных в пункте 3.3 настоящего Порядка).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bookmarkStart w:id="5" w:name="P118"/>
      <w:bookmarkEnd w:id="5"/>
      <w:r w:rsidRPr="00CD606F">
        <w:rPr>
          <w:sz w:val="28"/>
          <w:szCs w:val="28"/>
        </w:rPr>
        <w:t>3.3. Основаниями для отказа в предоставлении субсидий являются: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3.3.1. Несоответствие требованиям, установленным пунктом 1.3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3.3.2. Несоответствие требованиям, установленным пунктом 3.2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3.3.3. Представление ДНД неполного пакета документов в соответствии с пунктом 2.1 настоящего Порядка;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3.3.4. Наличие у ДНД просроченной задолженности по платежам в бюджет любого уровня;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3.3.5. На имущество ДНД в установленном порядке наложен арест или обращено взыскание;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3.3.6. В отношении ДНД в соответствии с действующим законодательством осуществляются процедуры ликвидации, реорганизации, банкротства или ее деятельность приостановлена в установленном действующим законодательством порядке;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3.3.7. Отказ ДНД от получения субсидии после представления пакета документов, указанного в пункте 2.1 настоящего Порядка.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3.4. В соответствии с постановлением администрации сельского поселения Георгиевка о предоставлении субсидий, в течение 10 дней администрация сельского поселения заключает с ДНД соглашение о предоставлении субсидий.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3.5. Объем субсидии ДНД равен размеру запрашиваемой субсидии, указанному в заявлении, но не более доведенных администрации сельского поселения Георгиевка лимитов бюджетных обязательств, предусмотренных на соответствующие цели на текущий финансовый год и не более фактических расходов ДНД </w:t>
      </w:r>
      <w:proofErr w:type="gramStart"/>
      <w:r w:rsidRPr="00CD606F">
        <w:rPr>
          <w:sz w:val="28"/>
          <w:szCs w:val="28"/>
        </w:rPr>
        <w:t>на цели</w:t>
      </w:r>
      <w:proofErr w:type="gramEnd"/>
      <w:r w:rsidRPr="00CD606F">
        <w:rPr>
          <w:sz w:val="28"/>
          <w:szCs w:val="28"/>
        </w:rPr>
        <w:t xml:space="preserve"> указанные в п. 1.3 настоящего порядка.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>Размер субсидии в части денежных выплат членам добровольных народных дружин определяется из расчета __ рублей за один час выхода на дежурство.</w:t>
      </w:r>
    </w:p>
    <w:p w:rsidR="00CD606F" w:rsidRPr="00CD606F" w:rsidRDefault="00CD606F" w:rsidP="00CD606F">
      <w:pPr>
        <w:pStyle w:val="ConsPlusNormal"/>
        <w:ind w:firstLine="709"/>
        <w:jc w:val="both"/>
        <w:rPr>
          <w:sz w:val="28"/>
          <w:szCs w:val="28"/>
        </w:rPr>
      </w:pPr>
      <w:r w:rsidRPr="00CD606F">
        <w:rPr>
          <w:sz w:val="28"/>
          <w:szCs w:val="28"/>
        </w:rPr>
        <w:t xml:space="preserve">3.6. Основанием предоставления субсидии является заключение с ДНД соглашения о предоставлении субсидии (далее - Соглашение) по форме </w:t>
      </w:r>
      <w:r w:rsidRPr="00CD606F">
        <w:rPr>
          <w:sz w:val="28"/>
          <w:szCs w:val="28"/>
        </w:rPr>
        <w:lastRenderedPageBreak/>
        <w:t>согласно приложению 3 к настоящему Порядку.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>ДНД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 xml:space="preserve">Субсидия предоставляется в порядке, установленном для исполнения бюджета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Самарской области, путем перечисления денежных средств с расчетного счета Главного распорядителя бюджетных средств на расчетный счет Получателя. Средства областного бюджета, предусмотренные на </w:t>
      </w:r>
      <w:proofErr w:type="spellStart"/>
      <w:r w:rsidRPr="00CD606F">
        <w:rPr>
          <w:b w:val="0"/>
        </w:rPr>
        <w:t>софинансирование</w:t>
      </w:r>
      <w:proofErr w:type="spellEnd"/>
      <w:r w:rsidRPr="00CD606F">
        <w:rPr>
          <w:b w:val="0"/>
        </w:rPr>
        <w:t xml:space="preserve"> расходных обязательств по обеспечению участия населения в охране общественного порядка, перечисляются Получателю только при условии их поступления в бюджет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>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 xml:space="preserve">Контрольно-счётная палата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осуществляет проверку соблюдения администрацией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условий, целей и порядка предоставления Субсидий по соглашению о передаче полномочий по осуществлению внешнего муниципального финансового контроля.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 xml:space="preserve">Администрация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осуществляет обязательную проверку соблюдения условий, целей и порядка использования Субсидий.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 xml:space="preserve">В случае установления факта нецелевого использования Субсидий, а также при нарушении ДНД условий их использования, предусмотренных настоящим Порядком и Соглашением, Субсидия подлежит возврату в полном объеме в установленном порядке в бюджет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Самарской области 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CD606F" w:rsidRPr="00CD606F" w:rsidRDefault="00CD606F" w:rsidP="00CD606F">
      <w:pPr>
        <w:pStyle w:val="a5"/>
        <w:numPr>
          <w:ilvl w:val="1"/>
          <w:numId w:val="4"/>
        </w:numPr>
        <w:ind w:left="0" w:firstLine="709"/>
        <w:jc w:val="both"/>
        <w:rPr>
          <w:b w:val="0"/>
        </w:rPr>
      </w:pPr>
      <w:r w:rsidRPr="00CD606F">
        <w:rPr>
          <w:b w:val="0"/>
        </w:rPr>
        <w:t xml:space="preserve">В случае неисполнения Получателем указанного требования в установленный срок, Субсидия подлежит взысканию в доход бюджета сельского поселения Георгиевка муниципального района </w:t>
      </w:r>
      <w:proofErr w:type="spellStart"/>
      <w:r w:rsidRPr="00CD606F">
        <w:rPr>
          <w:b w:val="0"/>
        </w:rPr>
        <w:t>Кинельский</w:t>
      </w:r>
      <w:proofErr w:type="spellEnd"/>
      <w:r w:rsidRPr="00CD606F">
        <w:rPr>
          <w:b w:val="0"/>
        </w:rPr>
        <w:t xml:space="preserve"> Самарской области в порядке, установленном действующим законодательством.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634"/>
      </w:tblGrid>
      <w:tr w:rsidR="00CD606F" w:rsidRPr="00CD606F" w:rsidTr="00A85E36">
        <w:tc>
          <w:tcPr>
            <w:tcW w:w="4219" w:type="dxa"/>
          </w:tcPr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b/>
              </w:rPr>
              <w:br w:type="page"/>
            </w:r>
            <w:r w:rsidRPr="00CD606F">
              <w:rPr>
                <w:rFonts w:ascii="Times New Roman" w:hAnsi="Times New Roman" w:cs="Times New Roman"/>
              </w:rPr>
              <w:br w:type="page"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351" w:type="dxa"/>
          </w:tcPr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rmal"/>
              <w:ind w:left="375"/>
              <w:jc w:val="right"/>
              <w:rPr>
                <w:sz w:val="28"/>
                <w:szCs w:val="28"/>
              </w:rPr>
            </w:pPr>
            <w:r w:rsidRPr="00CD606F">
              <w:rPr>
                <w:caps/>
                <w:sz w:val="28"/>
                <w:szCs w:val="28"/>
              </w:rPr>
              <w:t>Приложение</w:t>
            </w:r>
            <w:r w:rsidRPr="00CD606F">
              <w:rPr>
                <w:sz w:val="28"/>
                <w:szCs w:val="28"/>
              </w:rPr>
              <w:t xml:space="preserve"> 2</w:t>
            </w:r>
          </w:p>
          <w:p w:rsidR="00CD606F" w:rsidRPr="00CD606F" w:rsidRDefault="00CD606F" w:rsidP="00A85E36">
            <w:pPr>
              <w:pStyle w:val="ConsPlusNormal"/>
              <w:ind w:left="375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к Порядку определения объема </w:t>
            </w:r>
          </w:p>
          <w:p w:rsidR="00CD606F" w:rsidRPr="00CD606F" w:rsidRDefault="00CD606F" w:rsidP="00A85E36">
            <w:pPr>
              <w:pStyle w:val="ConsPlusNormal"/>
              <w:ind w:left="375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и предоставления субсидий </w:t>
            </w:r>
          </w:p>
          <w:p w:rsidR="00CD606F" w:rsidRPr="00CD606F" w:rsidRDefault="00CD606F" w:rsidP="00A85E36">
            <w:pPr>
              <w:pStyle w:val="ConsPlusNormal"/>
              <w:ind w:left="375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некоммерческим организациям, </w:t>
            </w:r>
          </w:p>
          <w:p w:rsidR="00CD606F" w:rsidRPr="00CD606F" w:rsidRDefault="00CD606F" w:rsidP="00A85E36">
            <w:pPr>
              <w:pStyle w:val="ConsPlusNormal"/>
              <w:ind w:left="375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не являющимся государственными</w:t>
            </w:r>
          </w:p>
          <w:p w:rsidR="00CD606F" w:rsidRPr="00CD606F" w:rsidRDefault="00CD606F" w:rsidP="00A85E36">
            <w:pPr>
              <w:pStyle w:val="ConsPlusNormal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(муниципальными) учреждениями, </w:t>
            </w:r>
          </w:p>
          <w:p w:rsidR="00CD606F" w:rsidRPr="00CD606F" w:rsidRDefault="00CD606F" w:rsidP="00A85E36">
            <w:pPr>
              <w:pStyle w:val="ConsPlusNormal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участвующим в охране</w:t>
            </w:r>
          </w:p>
          <w:p w:rsidR="00CD606F" w:rsidRPr="00CD606F" w:rsidRDefault="00CD606F" w:rsidP="00A85E36">
            <w:pPr>
              <w:pStyle w:val="ConsPlusNormal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общественного порядка на территории</w:t>
            </w:r>
          </w:p>
          <w:p w:rsidR="00CD606F" w:rsidRPr="00CD606F" w:rsidRDefault="00CD606F" w:rsidP="00A85E36">
            <w:pPr>
              <w:pStyle w:val="ConsPlusNormal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сельского поселения Георгиевка</w:t>
            </w:r>
          </w:p>
          <w:p w:rsidR="00CD606F" w:rsidRPr="00CD606F" w:rsidRDefault="00CD606F" w:rsidP="00A85E36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6" w:name="P277"/>
            <w:bookmarkEnd w:id="6"/>
            <w:r w:rsidRPr="00CD606F">
              <w:rPr>
                <w:sz w:val="28"/>
                <w:szCs w:val="28"/>
              </w:rPr>
              <w:t>Критерии оценки для осуществления отбора</w:t>
            </w:r>
          </w:p>
          <w:p w:rsidR="00CD606F" w:rsidRPr="00CD606F" w:rsidRDefault="00CD606F" w:rsidP="00A85E36">
            <w:pPr>
              <w:pStyle w:val="ConsPlusNormal"/>
              <w:jc w:val="center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lastRenderedPageBreak/>
              <w:t>в целях предоставления субсидий некоммерческим организациям,</w:t>
            </w:r>
          </w:p>
          <w:p w:rsidR="00CD606F" w:rsidRPr="00CD606F" w:rsidRDefault="00CD606F" w:rsidP="00A85E36">
            <w:pPr>
              <w:pStyle w:val="ConsPlusNormal"/>
              <w:jc w:val="center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не являющимся государственными (муниципальными)</w:t>
            </w:r>
          </w:p>
          <w:p w:rsidR="00CD606F" w:rsidRPr="00CD606F" w:rsidRDefault="00CD606F" w:rsidP="00A85E36">
            <w:pPr>
              <w:pStyle w:val="ConsPlusNormal"/>
              <w:jc w:val="center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учреждениями, участвующим в охране общественного порядка</w:t>
            </w:r>
          </w:p>
          <w:p w:rsidR="00CD606F" w:rsidRPr="00CD606F" w:rsidRDefault="00CD606F" w:rsidP="00A85E36">
            <w:pPr>
              <w:pStyle w:val="ConsPlusNormal"/>
              <w:jc w:val="center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на территории сельского поселения Георгиевка (далее - ДНД)</w:t>
            </w:r>
          </w:p>
          <w:p w:rsidR="00CD606F" w:rsidRPr="00CD606F" w:rsidRDefault="00CD606F" w:rsidP="00A85E36">
            <w:pPr>
              <w:pStyle w:val="ConsPlusNormal"/>
              <w:jc w:val="both"/>
              <w:rPr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7150"/>
              <w:gridCol w:w="1733"/>
            </w:tblGrid>
            <w:tr w:rsidR="00CD606F" w:rsidRPr="00CD606F" w:rsidTr="00A85E36">
              <w:tc>
                <w:tcPr>
                  <w:tcW w:w="27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8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Наименование критерия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CD606F" w:rsidRPr="00CD606F" w:rsidTr="00A85E36">
              <w:tc>
                <w:tcPr>
                  <w:tcW w:w="279" w:type="pct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0" w:type="pct"/>
                  <w:tcBorders>
                    <w:top w:val="single" w:sz="4" w:space="0" w:color="auto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Численность ДНД: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</w:tr>
            <w:tr w:rsidR="00CD606F" w:rsidRPr="00CD606F" w:rsidTr="00A85E36">
              <w:tblPrEx>
                <w:tblBorders>
                  <w:insideH w:val="none" w:sz="0" w:space="0" w:color="auto"/>
                </w:tblBorders>
              </w:tblPrEx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менее 10 человек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D606F" w:rsidRPr="00CD606F" w:rsidTr="00A85E36">
              <w:tblPrEx>
                <w:tblBorders>
                  <w:insideH w:val="none" w:sz="0" w:space="0" w:color="auto"/>
                </w:tblBorders>
              </w:tblPrEx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10 - 15 человек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D606F" w:rsidRPr="00CD606F" w:rsidTr="00A85E36"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более 15 человек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D606F" w:rsidRPr="00CD606F" w:rsidTr="00A85E36">
              <w:tc>
                <w:tcPr>
                  <w:tcW w:w="279" w:type="pct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0" w:type="pct"/>
                  <w:tcBorders>
                    <w:top w:val="single" w:sz="4" w:space="0" w:color="auto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Деятельность ДНД в оказании содействия органам внутренних дел (полиции) и иным правоохранительным органам, органам государственной власти и органам местного самоуправления на территории сельского поселения Георгиевка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</w:tr>
            <w:tr w:rsidR="00CD606F" w:rsidRPr="00CD606F" w:rsidTr="00A85E36">
              <w:tblPrEx>
                <w:tblBorders>
                  <w:insideH w:val="none" w:sz="0" w:space="0" w:color="auto"/>
                </w:tblBorders>
              </w:tblPrEx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менее 1 года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D606F" w:rsidRPr="00CD606F" w:rsidTr="00A85E36">
              <w:tblPrEx>
                <w:tblBorders>
                  <w:insideH w:val="none" w:sz="0" w:space="0" w:color="auto"/>
                </w:tblBorders>
              </w:tblPrEx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от 1 года до 2 лет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nil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D606F" w:rsidRPr="00CD606F" w:rsidTr="00A85E36">
              <w:tblPrEx>
                <w:tblBorders>
                  <w:insideH w:val="none" w:sz="0" w:space="0" w:color="auto"/>
                </w:tblBorders>
              </w:tblPrEx>
              <w:tc>
                <w:tcPr>
                  <w:tcW w:w="279" w:type="pct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00" w:type="pct"/>
                  <w:tcBorders>
                    <w:top w:val="nil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 xml:space="preserve">более 2 лет </w:t>
                  </w:r>
                </w:p>
              </w:tc>
              <w:tc>
                <w:tcPr>
                  <w:tcW w:w="921" w:type="pct"/>
                  <w:tcBorders>
                    <w:top w:val="nil"/>
                    <w:bottom w:val="single" w:sz="4" w:space="0" w:color="auto"/>
                  </w:tcBorders>
                </w:tcPr>
                <w:p w:rsidR="00CD606F" w:rsidRPr="00CD606F" w:rsidRDefault="00CD606F" w:rsidP="00A85E3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D606F" w:rsidRPr="00CD606F" w:rsidRDefault="00CD606F" w:rsidP="00A85E36">
            <w:pPr>
              <w:pStyle w:val="a5"/>
              <w:spacing w:line="276" w:lineRule="auto"/>
              <w:ind w:left="709"/>
            </w:pPr>
          </w:p>
          <w:p w:rsidR="00CD606F" w:rsidRPr="00CD606F" w:rsidRDefault="00CD606F" w:rsidP="00A85E36">
            <w:pPr>
              <w:pStyle w:val="a5"/>
              <w:spacing w:line="276" w:lineRule="auto"/>
              <w:ind w:left="709"/>
              <w:jc w:val="right"/>
            </w:pPr>
            <w:r w:rsidRPr="00CD606F">
              <w:br w:type="page"/>
            </w:r>
          </w:p>
          <w:p w:rsidR="00CD606F" w:rsidRPr="00CD606F" w:rsidRDefault="00CD606F" w:rsidP="00A85E36">
            <w:pPr>
              <w:pStyle w:val="a5"/>
              <w:spacing w:line="276" w:lineRule="auto"/>
              <w:ind w:left="709"/>
              <w:jc w:val="right"/>
            </w:pPr>
          </w:p>
          <w:p w:rsidR="00CD606F" w:rsidRPr="00CD606F" w:rsidRDefault="00CD606F" w:rsidP="00A85E36">
            <w:pPr>
              <w:pStyle w:val="a5"/>
              <w:spacing w:line="276" w:lineRule="auto"/>
              <w:ind w:left="709"/>
              <w:jc w:val="right"/>
            </w:pPr>
          </w:p>
          <w:p w:rsidR="00CD606F" w:rsidRPr="00CD606F" w:rsidRDefault="00CD606F" w:rsidP="00A85E36">
            <w:pPr>
              <w:pStyle w:val="a5"/>
              <w:spacing w:line="276" w:lineRule="auto"/>
              <w:ind w:left="709"/>
              <w:jc w:val="right"/>
            </w:pPr>
          </w:p>
          <w:p w:rsidR="00CD606F" w:rsidRPr="00CD606F" w:rsidRDefault="00CD606F" w:rsidP="00A85E36">
            <w:pPr>
              <w:pStyle w:val="a5"/>
              <w:spacing w:line="276" w:lineRule="auto"/>
              <w:ind w:left="709"/>
              <w:jc w:val="right"/>
            </w:pPr>
          </w:p>
          <w:p w:rsidR="00CD606F" w:rsidRPr="00CD606F" w:rsidRDefault="00CD606F" w:rsidP="00A85E36">
            <w:pPr>
              <w:pStyle w:val="ConsPlusNormal"/>
              <w:jc w:val="right"/>
              <w:rPr>
                <w:caps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rmal"/>
              <w:jc w:val="right"/>
              <w:rPr>
                <w:sz w:val="28"/>
                <w:szCs w:val="28"/>
              </w:rPr>
            </w:pPr>
            <w:r w:rsidRPr="00CD606F">
              <w:rPr>
                <w:caps/>
                <w:sz w:val="28"/>
                <w:szCs w:val="28"/>
              </w:rPr>
              <w:t>Приложение</w:t>
            </w:r>
            <w:r w:rsidRPr="00CD606F">
              <w:rPr>
                <w:sz w:val="28"/>
                <w:szCs w:val="28"/>
              </w:rPr>
              <w:t xml:space="preserve">  1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к Порядку определения объема 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и предоставления субсидий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некоммерческим организациям, 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не являющимся государственными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 xml:space="preserve">(муниципальными) учреждениями, 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участвующим в охране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общественного порядка на территории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CD606F">
              <w:rPr>
                <w:sz w:val="28"/>
                <w:szCs w:val="28"/>
              </w:rPr>
              <w:t>сельского поселения Георгиевка</w:t>
            </w:r>
          </w:p>
          <w:p w:rsidR="00CD606F" w:rsidRPr="00CD606F" w:rsidRDefault="00CD606F" w:rsidP="00A85E3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33"/>
              <w:gridCol w:w="4675"/>
            </w:tblGrid>
            <w:tr w:rsidR="00CD606F" w:rsidRPr="00CD606F" w:rsidTr="00A85E36">
              <w:tc>
                <w:tcPr>
                  <w:tcW w:w="4799" w:type="dxa"/>
                </w:tcPr>
                <w:p w:rsidR="00CD606F" w:rsidRPr="00CD606F" w:rsidRDefault="00CD606F" w:rsidP="00A85E36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Регистрационный номер</w:t>
                  </w:r>
                </w:p>
              </w:tc>
              <w:tc>
                <w:tcPr>
                  <w:tcW w:w="4799" w:type="dxa"/>
                </w:tcPr>
                <w:p w:rsidR="00CD606F" w:rsidRPr="00CD606F" w:rsidRDefault="00CD606F" w:rsidP="00A85E36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D606F" w:rsidRPr="00CD606F" w:rsidTr="00A85E36">
              <w:tc>
                <w:tcPr>
                  <w:tcW w:w="4799" w:type="dxa"/>
                </w:tcPr>
                <w:p w:rsidR="00CD606F" w:rsidRPr="00CD606F" w:rsidRDefault="00CD606F" w:rsidP="00A85E36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D606F"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4799" w:type="dxa"/>
                </w:tcPr>
                <w:p w:rsidR="00CD606F" w:rsidRPr="00CD606F" w:rsidRDefault="00CD606F" w:rsidP="00A85E36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606F" w:rsidRPr="00CD606F" w:rsidRDefault="00CD606F" w:rsidP="00A85E36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77"/>
            <w:bookmarkEnd w:id="7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 некоммерческим организациям, не являющимся государственными (муниципальными) учреждениями, участвующим в охране общественного порядка на территории сельского поселения Георгиевка</w:t>
            </w:r>
          </w:p>
          <w:p w:rsidR="00CD606F" w:rsidRPr="00CD606F" w:rsidRDefault="00CD606F" w:rsidP="00A85E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Прошу рассмотреть вопрос о предоставлении субсидии за счет средств бюджета сельского поселения Георгиевка, 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 (далее - ДНД)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определения объема и предоставления субсидий некоммерческим организациям, не являющимся государственными (муниципальными) учреждениями, участвующим в охране общественного порядка на территории сельского поселения Георгиевка, за счет средств бюджета сельского поселения Георгиевка, утвержденным постановлением администрации сельского поселения Георгиевка от ___________ 201___ года № ________, на цели: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                  (указать цели)</w:t>
            </w:r>
          </w:p>
          <w:p w:rsidR="00CD606F" w:rsidRPr="00CD606F" w:rsidRDefault="00CD606F" w:rsidP="00A85E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1. Полное и сокращенное наименование ДНД: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2. Ф.И.О., рабочий, мобильный телефон командира ДНД: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(рабочий телефон</w:t>
            </w:r>
            <w:proofErr w:type="gram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,)   </w:t>
            </w:r>
            <w:proofErr w:type="gram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     (мобильный телефон)</w:t>
            </w:r>
          </w:p>
          <w:p w:rsidR="00CD606F" w:rsidRPr="00CD606F" w:rsidRDefault="00CD606F" w:rsidP="00A85E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3. Банковские реквизиты ДНД: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ИНН____________________________БИК___________________________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КПП____________________________ОКУД___________________________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ОКПО__________________________ОКВЭД__________________________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ОКАТО_________________________ОКОГУ_________________________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ОКОПФ_________________________ОКФС___________________________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р./сч.____________________________________________________________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ко./</w:t>
            </w:r>
            <w:proofErr w:type="gram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сч.___________________________________________________________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адрес кредитной организации 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4. Дата внесения записи в ЕГРЮЛ о государственной  регистрации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юридического лица: «_____» _______________ ________ г.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(число)          (месяц)              (год)</w:t>
            </w:r>
          </w:p>
          <w:p w:rsidR="00CD606F" w:rsidRPr="00CD606F" w:rsidRDefault="00CD606F" w:rsidP="00CD606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ДНД в соответствии со свидетельством о государственной регистрации; телефон, факс, e-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ДНД: Адрес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 _______________, факс _____________, e-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6. Ф.И.О., </w:t>
            </w:r>
            <w:proofErr w:type="gram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рабочий,  мобильный</w:t>
            </w:r>
            <w:proofErr w:type="gram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 телефон  главного бухгалтера ДНД (при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наличии):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(рабочий телефон</w:t>
            </w:r>
            <w:proofErr w:type="gram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,)   </w:t>
            </w:r>
            <w:proofErr w:type="gram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     (мобильный телефон)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7. Численность ДНД 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8.  Сведения  о  деятельности  членов ДНД в оказании содействия органам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внутренних   дел  (полиции)  и  иным  правоохранительным  органам,  органам государственной  власти  и  органам  местного  самоуправления на территории сельского поселения Георгиевка __________________________________________________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9. ДНД гарантирует, что по состоянию на _______ 201__ г.: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-   она   не   находится   в   стадии  ликвидации,  у  нее  отсутствует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задолженность  по  платежам  в  бюджет  любого  уровня,  на ее имущество не наложен арест (не обращено взыскание);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-  в  отношении  ДНД  в соответствии с действующим законодательством не осуществляются   процедуры   ликвидации,   реорганизации,  банкротства,  ее деятельность     не     приостановлена    в    установленном    действующим законодательством порядке.</w:t>
            </w:r>
          </w:p>
          <w:p w:rsidR="00CD606F" w:rsidRPr="00CD606F" w:rsidRDefault="00CD606F" w:rsidP="00A85E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ДНД   несет   установленную  действующим  законодательством  Российской Федерации ответственность за достоверность представленных сведений.</w:t>
            </w:r>
          </w:p>
          <w:p w:rsidR="00CD606F" w:rsidRPr="00CD606F" w:rsidRDefault="00CD606F" w:rsidP="00A85E3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Подпись командира ДНД:    __________________________ (Ф.И.О.)</w:t>
            </w:r>
          </w:p>
          <w:p w:rsidR="00CD606F" w:rsidRPr="00CD606F" w:rsidRDefault="00CD606F" w:rsidP="00A85E36">
            <w:pPr>
              <w:pStyle w:val="a5"/>
              <w:ind w:left="0" w:firstLine="709"/>
              <w:jc w:val="both"/>
              <w:rPr>
                <w:b w:val="0"/>
              </w:rPr>
            </w:pPr>
            <w:r w:rsidRPr="00CD606F">
              <w:t xml:space="preserve">    </w:t>
            </w:r>
            <w:r w:rsidRPr="00CD606F">
              <w:rPr>
                <w:b w:val="0"/>
              </w:rPr>
              <w:t>М.П.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32"/>
              <w:gridCol w:w="5286"/>
            </w:tblGrid>
            <w:tr w:rsidR="00CD606F" w:rsidRPr="00CD606F" w:rsidTr="00A85E36">
              <w:tc>
                <w:tcPr>
                  <w:tcW w:w="4132" w:type="dxa"/>
                </w:tcPr>
                <w:p w:rsidR="00CD606F" w:rsidRPr="00CD606F" w:rsidRDefault="00CD606F" w:rsidP="00A85E3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</w:rPr>
                    <w:br w:type="page"/>
                  </w:r>
                </w:p>
              </w:tc>
              <w:tc>
                <w:tcPr>
                  <w:tcW w:w="5286" w:type="dxa"/>
                </w:tcPr>
                <w:p w:rsidR="00CD606F" w:rsidRPr="00CD606F" w:rsidRDefault="00CD606F" w:rsidP="00A85E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CD606F" w:rsidRPr="00CD606F" w:rsidRDefault="00CD606F" w:rsidP="00A85E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предоставления субсидии </w:t>
                  </w:r>
                </w:p>
                <w:p w:rsidR="00CD606F" w:rsidRPr="00CD606F" w:rsidRDefault="00CD606F" w:rsidP="00A85E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бюджета сельского поселения Георгиевка муниципального района </w:t>
                  </w:r>
                  <w:proofErr w:type="spellStart"/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            </w:r>
                  <w:proofErr w:type="spellStart"/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Самарской области</w:t>
                  </w:r>
                </w:p>
              </w:tc>
            </w:tr>
          </w:tbl>
          <w:p w:rsidR="00CD606F" w:rsidRPr="00CD606F" w:rsidRDefault="00CD606F" w:rsidP="00A85E36">
            <w:pPr>
              <w:tabs>
                <w:tab w:val="left" w:pos="6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Соглашение</w:t>
            </w: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субсидии из бюджета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с. Георгиевка</w:t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gram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__» ________г.</w:t>
            </w:r>
          </w:p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, Порядком предоставления субсидии из бюджета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некоммерческим организациям, не являющимся муниципальными учреждениями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в целях финансирования расходных обязательств по обеспечению участия населения в охране общественного порядка, возникающих при выполнении полномочий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по созданию условий для деятельности добровольных формирований населения по охране общественного порядка, утвержденного постановлением администрации сельского поселения Георгиевка муниципального района </w:t>
            </w:r>
            <w:proofErr w:type="spellStart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606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_________№____ (далее - Порядок) заключили настоящее Соглашение о нижеследующем:</w:t>
            </w:r>
          </w:p>
          <w:p w:rsidR="00CD606F" w:rsidRPr="00CD606F" w:rsidRDefault="00CD606F" w:rsidP="00A85E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Предмет Соглашения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Предметом настоящего Соглашения является предоставление Администрацией в ___ году субсидии из бюджета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Получателю в целях финансирования фактических расходов Получателя на осуществление деятельности добровольных народных дружин, участвующих в охране общественного порядка на территории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(далее - Субсидия).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Субсидия предоставляется в целях реализации расходных обязательств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в пределах объема бюджетных ассигнований, предусмотренных в установленном порядке администрации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области, как Главному распорядителю бюджетных средств, решением Собрания представителей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от «___»__________г. №___ «О бюджете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на ____ год и плановый период ______ годов.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Администрация предоставляет Субсидию Получателю посредством перечисления средств бюджета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на расчетный счет Получателя, открытый в кредитной организации осуществляющей деятельность в соответствии с законодательством Российской Федерации.</w:t>
            </w:r>
          </w:p>
          <w:p w:rsidR="00CD606F" w:rsidRPr="00CD606F" w:rsidRDefault="00CD606F" w:rsidP="00A85E36">
            <w:pPr>
              <w:pStyle w:val="a5"/>
              <w:ind w:left="709"/>
              <w:jc w:val="both"/>
              <w:rPr>
                <w:b w:val="0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Права и обязанности Сторон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Администрация обязуется предоставить Получателю Субсидию в размере ________ рублей.  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Администрация имеет право: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Осуществлять в пределах своих полномочий контроль за целевым использованием средств, предоставленных Получателю в виде Субсидии, и за ходом реализации настоящего Соглашения.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Осуществлять проверку соблюдения условий, целей и порядка использования Субсидий.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Запрашивать у Получателя любую документацию и информацию о достигнутых результатах.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Направить Получателю письменное требование о возврате Субсидии в бюджет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в случае установления фактов нецелевого использования или нарушения условий использования Субсидии.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Взыскать в доход бюджета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Субсидию, в случае неисполнения Получателем требования о возврате Субсидии, в установленном действующим законодательством порядке.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Получатель обязуется: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lastRenderedPageBreak/>
              <w:t>Использовать Субсидию на цели, указанные в п.1.1 настоящего Соглашения в срок до 25 декабря текущего года.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Представить по запросу Администрации документы и информацию о достигнутых результатах в течение 5 дней с даты получения запроса.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Согласиться на осуществление Администрацией и органами муниципального финансового контроля проверок соблюдения Получателем Субсидий условий, целей и порядка их использования.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Возвратить Субсидию в бюджет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в течение 10 рабочих дней с даты получения письменного требования Администрации, предусмотренного п. 2.2.4. настоящего Соглашения.</w:t>
            </w:r>
          </w:p>
          <w:p w:rsidR="00CD606F" w:rsidRPr="00CD606F" w:rsidRDefault="00CD606F" w:rsidP="00A85E36">
            <w:pPr>
              <w:pStyle w:val="a5"/>
              <w:ind w:left="709"/>
              <w:jc w:val="both"/>
              <w:rPr>
                <w:b w:val="0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Срок исполнения обязательств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Срок действия Соглашения:</w:t>
            </w:r>
          </w:p>
          <w:p w:rsidR="00CD606F" w:rsidRPr="00CD606F" w:rsidRDefault="00CD606F" w:rsidP="00CD606F">
            <w:pPr>
              <w:pStyle w:val="a5"/>
              <w:numPr>
                <w:ilvl w:val="2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Настоящее Соглашение вступает в силу со дня его подписания Сторонами и действует до 31 декабря текущего года.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Субсидия предоставляется в течение трех рабочих дней с момента вынесения решения о предоставлении Субсидии. Средства областного бюджета, предусмотренные на </w:t>
            </w:r>
            <w:proofErr w:type="spellStart"/>
            <w:r w:rsidRPr="00CD606F">
              <w:rPr>
                <w:b w:val="0"/>
              </w:rPr>
              <w:t>софинансирование</w:t>
            </w:r>
            <w:proofErr w:type="spellEnd"/>
            <w:r w:rsidRPr="00CD606F">
              <w:rPr>
                <w:b w:val="0"/>
              </w:rPr>
              <w:t xml:space="preserve"> расходных обязательств по обеспечению участия населения в охране общественного порядка, перечисляются Получателю по мере их поступления в бюджет сельского поселения.</w:t>
            </w: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Ответственность Сторон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Администрация несет ответственность за своевременность и полноту перечисления Субсидии.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Получатель несёт ответственность за полноту и достоверность сведений, содержащихся в документах и информации, предоставляемых в связи с реализацией настоящего Соглашения.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В случае нарушения Получателем Порядка и/или настоящего Соглашения Субсидия подлежит возврату в бюджет сельского поселения в течение 10 рабочих дней, с даты получения письменного требования Администрации о возврате Субсидии. В случае невозврата Получателем Субсидии, в установленный срок, она подлежит взысканию в доход бюджета сельского поселения Георгиевка муниципального района </w:t>
            </w:r>
            <w:proofErr w:type="spellStart"/>
            <w:r w:rsidRPr="00CD606F">
              <w:rPr>
                <w:b w:val="0"/>
              </w:rPr>
              <w:t>Кинельский</w:t>
            </w:r>
            <w:proofErr w:type="spellEnd"/>
            <w:r w:rsidRPr="00CD606F">
              <w:rPr>
                <w:b w:val="0"/>
              </w:rPr>
              <w:t xml:space="preserve"> Самарской области в порядке, установленном действующим законодательством.</w:t>
            </w:r>
          </w:p>
          <w:p w:rsidR="00CD606F" w:rsidRPr="00CD606F" w:rsidRDefault="00CD606F" w:rsidP="00A85E36">
            <w:pPr>
              <w:pStyle w:val="a5"/>
              <w:ind w:left="709"/>
              <w:jc w:val="both"/>
              <w:rPr>
                <w:b w:val="0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Порядок разрешения споров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Споры и разногласия, которые могут возникнуть между Сторонами при исполнении настоящего Соглашения, разрешаются путем переговоров.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 xml:space="preserve">В случае невозможности урегулирования споров и разногласий путем переговоров, спорные вопросы подлежат рассмотрению в судебном </w:t>
            </w:r>
            <w:r w:rsidRPr="00CD606F">
              <w:rPr>
                <w:b w:val="0"/>
              </w:rPr>
              <w:lastRenderedPageBreak/>
              <w:t>порядке в соответствии с действующим законодательством Российской Федерации.</w:t>
            </w:r>
          </w:p>
          <w:p w:rsidR="00CD606F" w:rsidRPr="00CD606F" w:rsidRDefault="00CD606F" w:rsidP="00A85E36">
            <w:pPr>
              <w:pStyle w:val="a5"/>
              <w:ind w:left="709"/>
              <w:jc w:val="both"/>
              <w:rPr>
                <w:b w:val="0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Заключительные положения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Настоящее Соглашение составлено в двух экземплярах, имеющих равную юридическую силу, по одному для каждой из Сторон.</w:t>
            </w:r>
          </w:p>
          <w:p w:rsidR="00CD606F" w:rsidRPr="00CD606F" w:rsidRDefault="00CD606F" w:rsidP="00CD606F">
            <w:pPr>
              <w:pStyle w:val="a5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</w:rPr>
            </w:pPr>
            <w:r w:rsidRPr="00CD606F">
              <w:rPr>
                <w:b w:val="0"/>
              </w:rPr>
              <w:t>Изменения в настоящее Соглашение вносятся по взаимному соглашению Сторон с оформлением дополнительных соглашений, являющихся с момента их подписания неотъемлемой частью настоящего Соглашения.</w:t>
            </w:r>
          </w:p>
          <w:p w:rsidR="00CD606F" w:rsidRPr="00CD606F" w:rsidRDefault="00CD606F" w:rsidP="00A85E36">
            <w:pPr>
              <w:pStyle w:val="a5"/>
              <w:ind w:left="709"/>
              <w:jc w:val="both"/>
              <w:rPr>
                <w:b w:val="0"/>
              </w:rPr>
            </w:pPr>
          </w:p>
          <w:p w:rsidR="00CD606F" w:rsidRPr="00CD606F" w:rsidRDefault="00CD606F" w:rsidP="00CD606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  <w:r w:rsidRPr="00CD606F">
              <w:t>Юридические адреса, реквизиты и подписи Сторон</w:t>
            </w:r>
          </w:p>
          <w:p w:rsidR="00CD606F" w:rsidRPr="00CD606F" w:rsidRDefault="00CD606F" w:rsidP="00A85E36">
            <w:pPr>
              <w:pStyle w:val="a5"/>
              <w:ind w:left="0" w:firstLine="709"/>
              <w:jc w:val="both"/>
              <w:rPr>
                <w:b w:val="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11"/>
              <w:gridCol w:w="4697"/>
            </w:tblGrid>
            <w:tr w:rsidR="00CD606F" w:rsidRPr="00CD606F" w:rsidTr="00A85E36">
              <w:tc>
                <w:tcPr>
                  <w:tcW w:w="4785" w:type="dxa"/>
                </w:tcPr>
                <w:p w:rsidR="00CD606F" w:rsidRPr="00CD606F" w:rsidRDefault="00CD606F" w:rsidP="00A85E3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4785" w:type="dxa"/>
                </w:tcPr>
                <w:p w:rsidR="00CD606F" w:rsidRPr="00CD606F" w:rsidRDefault="00CD606F" w:rsidP="00A85E3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0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Получатель</w:t>
                  </w:r>
                </w:p>
              </w:tc>
            </w:tr>
            <w:tr w:rsidR="00CD606F" w:rsidRPr="00CD606F" w:rsidTr="00A85E36">
              <w:tc>
                <w:tcPr>
                  <w:tcW w:w="4785" w:type="dxa"/>
                </w:tcPr>
                <w:p w:rsidR="00CD606F" w:rsidRPr="00CD606F" w:rsidRDefault="00CD606F" w:rsidP="00A85E3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CD606F" w:rsidRPr="00CD606F" w:rsidRDefault="00CD606F" w:rsidP="00A85E3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D606F" w:rsidRPr="00CD606F" w:rsidRDefault="00CD606F" w:rsidP="00A85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6F" w:rsidRPr="00CD606F" w:rsidRDefault="00CD606F" w:rsidP="00A8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06F" w:rsidRPr="00CD606F" w:rsidRDefault="00CD606F" w:rsidP="00CD606F">
      <w:pPr>
        <w:pStyle w:val="a5"/>
        <w:spacing w:line="276" w:lineRule="auto"/>
        <w:jc w:val="center"/>
        <w:rPr>
          <w:b w:val="0"/>
        </w:rPr>
      </w:pPr>
    </w:p>
    <w:p w:rsidR="00CD606F" w:rsidRPr="00CD606F" w:rsidRDefault="00CD606F" w:rsidP="00CD606F">
      <w:pPr>
        <w:pStyle w:val="a5"/>
        <w:spacing w:line="276" w:lineRule="auto"/>
        <w:jc w:val="center"/>
        <w:rPr>
          <w:b w:val="0"/>
        </w:rPr>
      </w:pPr>
    </w:p>
    <w:p w:rsidR="00CD606F" w:rsidRPr="00CD606F" w:rsidRDefault="00CD606F" w:rsidP="00CD606F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06F" w:rsidRPr="00CD606F" w:rsidRDefault="00CD606F" w:rsidP="00CD606F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06F" w:rsidRPr="00CD606F" w:rsidRDefault="00CD606F" w:rsidP="00CD606F">
      <w:pPr>
        <w:tabs>
          <w:tab w:val="left" w:pos="7634"/>
        </w:tabs>
        <w:ind w:left="425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06F">
        <w:rPr>
          <w:rFonts w:ascii="Times New Roman" w:hAnsi="Times New Roman" w:cs="Times New Roman"/>
          <w:sz w:val="28"/>
        </w:rPr>
        <w:t xml:space="preserve">  </w:t>
      </w:r>
    </w:p>
    <w:p w:rsidR="00CD606F" w:rsidRPr="00CD606F" w:rsidRDefault="00CD606F" w:rsidP="00CD606F">
      <w:pPr>
        <w:spacing w:after="120"/>
        <w:ind w:firstLine="709"/>
        <w:rPr>
          <w:rFonts w:ascii="Times New Roman" w:hAnsi="Times New Roman" w:cs="Times New Roman"/>
        </w:rPr>
      </w:pPr>
    </w:p>
    <w:p w:rsidR="00C8592A" w:rsidRPr="00CD606F" w:rsidRDefault="007E39C0" w:rsidP="00CD606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C8592A" w:rsidRPr="00CD606F" w:rsidSect="002623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761"/>
    <w:multiLevelType w:val="multilevel"/>
    <w:tmpl w:val="52C010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7D"/>
    <w:rsid w:val="001D7921"/>
    <w:rsid w:val="0026236A"/>
    <w:rsid w:val="00333FF2"/>
    <w:rsid w:val="003437CE"/>
    <w:rsid w:val="0040432A"/>
    <w:rsid w:val="00472F4C"/>
    <w:rsid w:val="00640C92"/>
    <w:rsid w:val="0067122B"/>
    <w:rsid w:val="006F3656"/>
    <w:rsid w:val="007362AE"/>
    <w:rsid w:val="007E32FC"/>
    <w:rsid w:val="007E39C0"/>
    <w:rsid w:val="00985DD9"/>
    <w:rsid w:val="00A51BD5"/>
    <w:rsid w:val="00AF547D"/>
    <w:rsid w:val="00C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69FBF-0E44-42D4-BEA7-1BAD3ED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47D"/>
    <w:rPr>
      <w:color w:val="0000FF"/>
      <w:u w:val="single"/>
    </w:rPr>
  </w:style>
  <w:style w:type="paragraph" w:customStyle="1" w:styleId="ConsPlusNormal">
    <w:name w:val="ConsPlusNormal"/>
    <w:rsid w:val="002623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Title">
    <w:name w:val="ConsPlusTitle"/>
    <w:next w:val="ConsPlusNormal"/>
    <w:rsid w:val="002623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D6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59"/>
    <w:rsid w:val="00CD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CD60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7C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CE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F812-7DA7-4672-A65F-0086BF8D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admgeorg</dc:creator>
  <cp:lastModifiedBy>Катеренюк Илья Иванович</cp:lastModifiedBy>
  <cp:revision>2</cp:revision>
  <cp:lastPrinted>2020-02-12T14:22:00Z</cp:lastPrinted>
  <dcterms:created xsi:type="dcterms:W3CDTF">2020-03-23T09:49:00Z</dcterms:created>
  <dcterms:modified xsi:type="dcterms:W3CDTF">2020-03-23T09:49:00Z</dcterms:modified>
</cp:coreProperties>
</file>