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921E1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921E1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1E10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921E10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921E10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921E10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921E10" w:rsidTr="008E1803">
        <w:trPr>
          <w:trHeight w:val="197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21E1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921E10">
                  <w:pPr>
                    <w:spacing w:line="1" w:lineRule="auto"/>
                    <w:jc w:val="center"/>
                  </w:pP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</w:tr>
      <w:tr w:rsidR="00921E1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</w:tr>
      <w:tr w:rsidR="00921E1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 w:rsidP="00F05D3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Бюджет </w:t>
            </w:r>
            <w:r w:rsidR="00F05D3D">
              <w:rPr>
                <w:color w:val="000000"/>
                <w:sz w:val="28"/>
                <w:szCs w:val="28"/>
                <w:u w:val="single"/>
              </w:rPr>
              <w:t>мр Кинельский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21E1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36618000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</w:tr>
      <w:tr w:rsidR="00921E10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21E1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921E1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21E1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921E10" w:rsidRDefault="00921E10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921E10" w:rsidTr="00FA34FC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 w:rsidTr="00FA34FC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21E10" w:rsidTr="00FA34FC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Управление финансами администрации муниципального района Кинельский Самарской области является юридическим лицом, имеет печать, имеет в оперативном управлении имущество и самостоятельную смету, является структурным подразделением администрации муниципального района Кинельский Самарской области.                                                          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Юридический адрес: 446433, Самарская область, город Кинель, улица Ленина, дом 36.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Управление финансами осуществляет кассовое исполнение бюджета муниципального района Кинельский. Для расчетов  в УФК по Самарской области открыт лицевой счет № 02423008450, расчетный счет 03231643366180004200 в Отделении Самара Банка Россия, БИК 013601205. Для поступления доходов бюджета в УФК по Самарской области открыт лицевой счет 04423008450, к расчетному счету 03100643000000014200 в Отделении Самара Банка Россия, БИК 013601205.</w:t>
                  </w:r>
                </w:p>
                <w:p w:rsidR="00921E10" w:rsidRDefault="00AC2C59" w:rsidP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Основные направления деятельности - деятельность органов местного самоуправления: Формирование, утверждение, исполнение бюджета и контроль за его исполнением; установление, изменение и отмена местных налогов и сборов поселения; владение, пользование и распоряжение имуществом, находящимся в муниципальной собственности района; организация в границах района электро-, тепло-, газо-, водоснабжения, водоотведения и снабжение теплом учреждений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образования; обеспечение малоимущих граждан, нуждающихся в улучшении жилищных условий жилыми помещениями, организация строительства и содержание жилищного фонда; профилактика терроризма и ликвидация последствий его проявления; участие в предупреждении и ликвидации последствий чрезвычайных ситуаций, первичные меры пожарной безопасности; разработка прогноза социально - экономического развития района, организация конкурсов по закупкам для муниципальных нужд, оказание финансовой поддержки для субъектов малого и среднего бизнеса; ведение единого бухгалтерского учета. По состоянию на 1 января 2025 года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муниципальном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районе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Кинельский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действуют: ГРБС 5, муниципальных казенных учреждений - 3, бюджетных учреждений 8.</w:t>
                  </w:r>
                </w:p>
              </w:tc>
            </w:tr>
          </w:tbl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21E10" w:rsidTr="00FA34FC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21E10" w:rsidTr="00FA34FC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муниципальном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районе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Кинельский продолжают реализовываться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программы, направленные на экономию и сокращение расходов бюджета: продолжается внедрение энергосберегающих ламп - Постановление 2051 от  21.12.2016 г - экономия 10% по статье 223 "Коммунальные расходы"; снижение потерь в теплотрассах до объектов соцкультбыта путём капитального ремонта и применением новых технологий, проведения работ по теплоизоляции газопроводов и замена котлов в мини</w:t>
                  </w:r>
                  <w:r w:rsidR="00712E07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котельных на энергосберегающие - экономия 3-5% по статье 223 "Коммунальные расходы"; снижение потерь в водопроводах до объектов соцкультбыта путём капитального ремонта и установка частотных регуляторов мощности насосов на водозаборах -экономия до 10% по статье 223 "Коммунальные расходы".</w:t>
                  </w:r>
                </w:p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Отчет об исполнении бюджета района за 2024 год составлен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</w:t>
                  </w:r>
                  <w:r>
                    <w:rPr>
                      <w:color w:val="000000"/>
                      <w:sz w:val="28"/>
                      <w:szCs w:val="28"/>
                    </w:rPr>
                    <w:t>Приказом руководителя управления финансами администрации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Кинельский.</w:t>
                  </w:r>
                </w:p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Расходование бюджетных средств с применением конкурентных способов заключения контрактов в рамках исполнения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позволило сэкономить средства бюджета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В целях повышения уровня профессиональных знаний, в отчетном периоде было организовано повышение квалификации и переподготовка 133 сотрудников на общую сумму 260,8 тыс. рублей.</w:t>
                  </w:r>
                </w:p>
                <w:p w:rsidR="00921E10" w:rsidRDefault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Техническое состояние основных средств в учреждениях находится в удовлетворительном состоянии. Своевременно проводится диагностика,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lastRenderedPageBreak/>
                    <w:t>техническое обслуживание, ремонт основных средств. Непригодные к дальнейшей эксплуатации объекты основных средств своевременно списываются и утилизируются с балансов учреждений в порядке, установленном законодательством. Обеспечение основными средствами и материальными запасами осуществляется своевременно.</w:t>
                  </w:r>
                </w:p>
                <w:p w:rsidR="00921E10" w:rsidRDefault="006438EE" w:rsidP="00AC2C59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Сохранность основных средств обеспечивается посредством их закрепления за материально-ответственными лицами и проведением плановой инвентаризации имущества. По состоянию на 01.01.2025 года стоимость ОС с учетом имущества казны  составила 820451030,49 рублей, поступило имущество </w:t>
                  </w:r>
                  <w:r w:rsidR="00AC2C59">
                    <w:rPr>
                      <w:color w:val="000000"/>
                      <w:sz w:val="28"/>
                      <w:szCs w:val="28"/>
                    </w:rPr>
                    <w:t>на сумму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76158915,24  рублей, в том числе от Мин</w:t>
                  </w:r>
                  <w:r w:rsidR="00712E07">
                    <w:rPr>
                      <w:color w:val="000000"/>
                      <w:sz w:val="28"/>
                      <w:szCs w:val="28"/>
                    </w:rPr>
                    <w:t xml:space="preserve">истерства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имущества Самарской области </w:t>
                  </w:r>
                  <w:r w:rsidR="00AC2C59">
                    <w:rPr>
                      <w:color w:val="000000"/>
                      <w:sz w:val="28"/>
                      <w:szCs w:val="28"/>
                    </w:rPr>
                    <w:t>на сумму 17616926,65 рублей, от АСП на сумму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1547487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3,38 рублей. Выбыло  имущество на сумму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65439750,92 рубля, из них передано сельским поселениям на сумму 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  54382747,08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. Поступления в 2024 году по непроизведенным активам ( по счету 108.55) составили 11705229 рублей, данная сумма поступила от сельских поселений, выбыло непроизведенных активов из состава имущества казны района в бюджеты сельских поселени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й на сумму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40193481,67 рублей. По состоянию на 01.01.2025 года сумма по непроизведенным активам (по счету 103.00) составила 359877117,17 рублей, по казне (по счету 108.55) 235637608,25 рублей.  Приобретено МЗ для нужд учреждений образования в составе имущес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тва казны за 2024 год на сумму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558506,27  рублей.   По состоянию на 01.01.2025 года материальные запасы составили 1469243,82 рублей, поступило в отчетном г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оду МЗ на сумму 1771377,42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, израсходовано на нужды учреждения, передано в казну и списано на сумму 1435146,09 рублей, МЗ приходовались своевременно и списывались на нужды по средней стоимости.</w:t>
                  </w:r>
                </w:p>
              </w:tc>
            </w:tr>
          </w:tbl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21E10" w:rsidTr="00FA34FC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21E10" w:rsidTr="00FA34FC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муниципа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 xml:space="preserve">льного района Кинельский по доходам </w:t>
                  </w:r>
                  <w:r>
                    <w:rPr>
                      <w:color w:val="000000"/>
                      <w:sz w:val="28"/>
                      <w:szCs w:val="28"/>
                    </w:rPr>
                    <w:t>исполнен в  сумме 819 304,8  тыс. рублей  при уточненном плане 824 607,0  тыс. рублей или 99,4 %.</w:t>
                  </w:r>
                </w:p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налоговым  и неналоговым доходам исполнение составило 440 601,8 тыс. рублей при уточненном плане 439 551,9 тыс. рублей или 100,2 %. </w:t>
                  </w:r>
                </w:p>
                <w:p w:rsidR="00921E10" w:rsidRDefault="006438EE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Безвозмездные поступления исполнены в сумме 378 703,0 тыс. рублей при уточненном плане 385 055,1 тыс. рублей или 98,4 %. (см. Приложение №1).</w:t>
                  </w:r>
                </w:p>
                <w:p w:rsidR="00DF313F" w:rsidRDefault="00DF313F">
                  <w:pPr>
                    <w:ind w:firstLine="720"/>
                    <w:jc w:val="both"/>
                  </w:pPr>
                </w:p>
                <w:p w:rsidR="00921E10" w:rsidRDefault="006438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Анализ исполнения доходной части бюджета, причины отклонения от бюджетных назначений по налоговым и неналоговым доходам в разрезе видов доходов</w:t>
                  </w:r>
                </w:p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Налоговые доходы.</w:t>
                  </w:r>
                </w:p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Наибольший удельный вес в объеме налоговых доходов бюджета района занимают в 2024 году налог на доходы физических лиц (59,1%) и налог, взимаемый в связи с применением упрощенной системы налогообложения (8,5 %).</w:t>
                  </w:r>
                </w:p>
                <w:p w:rsidR="00DF313F" w:rsidRDefault="00DF313F">
                  <w:pPr>
                    <w:ind w:firstLine="7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921E10" w:rsidRDefault="00DF313F">
                  <w:pPr>
                    <w:ind w:firstLine="72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  <w:r w:rsidR="006438EE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НДФЛ.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 источником доходов  на сегодня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шний день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остается налог на доходы физических лиц.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Исполнение за 2024 год составило 260 484,4 тыс. рублей или 103,2 % от годового плана. По сравнению с 2023 годом (165 102,6 тыс. рублей) поступление по налогу увеличились на 95 381,8 тыс. рублей или 157,8 %. Рост поступлений связан с увеличением МРОТ с января 2024 года на 18,5 % и  увеличением выплат и перечислений налога по отдельным организациям (ООО "Спецмашстрой", ООО "Пивоваренная компания "Балтика", ООО "НПП "Бурение", ООО "Парфеновское", ООО "Ритек", ООО "Компания АСТ" и др.)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Упрощенная система налогообложения.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Поступление доходов от налога, взимаемого в связи с применением упрощенной системы налогообложения, составило 37 570,8 ты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>с. рублей или 100 % к бюджетным назначениям</w:t>
                  </w:r>
                  <w:r>
                    <w:rPr>
                      <w:color w:val="000000"/>
                      <w:sz w:val="28"/>
                      <w:szCs w:val="28"/>
                    </w:rPr>
                    <w:t>. Увеличение к аналогичному периоду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 xml:space="preserve"> прошлого года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(31 373,4 тыс. рублей) составило 6 197,4 тыс. рублей или 119,8 %. Рост поступлений связан с  увеличением налогооблагаемой базы и платежей отдельных организаций (ООО "Кинельская логистическая компания", ООО "Пионер") и индивидуальных предпринимателей.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Единый налог на вмененный доход для отдельных видов деятельности.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2024 год составило 8,2 тыс. рублей или 100,0  % от годового плана. </w:t>
                  </w:r>
                </w:p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аналогичным периодом</w:t>
                  </w:r>
                  <w:r w:rsidR="00DF313F">
                    <w:rPr>
                      <w:color w:val="000000"/>
                      <w:sz w:val="28"/>
                      <w:szCs w:val="28"/>
                    </w:rPr>
                    <w:t xml:space="preserve"> прошлого года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(-47,1 тыс. рублей), налог поступил в сумме 8,2 тыс. рублей. В связи с отменой данного налога с 2021 года осуществляются возвраты и зачеты переплат, а также погашение задолженности.</w:t>
                  </w:r>
                </w:p>
                <w:p w:rsidR="00921E10" w:rsidRDefault="006438EE">
                  <w:pPr>
                    <w:ind w:firstLine="72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Единый сельскохозяйственный налог.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2024 год составило 6 486,0 тыс. рублей или 100,0 % от годового плана. Удельный вес к налоговым и неналоговым доходам составил 1,5 %.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(9 870,6 тыс. рублей) снижение составило 3 384,0 тыс. рублей или 65,7 % в связи с уменьшением выручки  сельскохозяйственного производителя  ООО "Парфеновское".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Налог, взимаемый в связи с применением патентной системы налогообложения.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Исполнение за 2024 год составило 2 200,7 тыс. рублей или 100,0 % от годового плана. Удельный вес к налоговым и неналоговым доходам составил 0,5 %. 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(804,5 тыс. рублей) произошел рост на 1 396,2 тыс. рублей или 273,5 % за счет увеличения суммы налога при меньшем объеме страховых взносов и неравномерностью погашения задолженности физических лиц по выданным патентам.        </w:t>
                  </w:r>
                </w:p>
                <w:p w:rsidR="00DF313F" w:rsidRDefault="00DF313F" w:rsidP="00DF313F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6438EE"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Государственная пошлина.</w:t>
                  </w:r>
                </w:p>
                <w:p w:rsidR="00921E10" w:rsidRDefault="00DF313F" w:rsidP="00DF313F">
                  <w:pPr>
                    <w:jc w:val="both"/>
                  </w:pPr>
                  <w:r>
                    <w:t xml:space="preserve">   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Исполнение за 2024 год составило 2 775,9 тыс. рублей или 100,0 % от годового плана. Удельный вес к налоговым и неналоговым доходам составил 0,6 %.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сравнению с прошлым отчетным годом (2 502,0  тыс. рублей) наблюдается рост на 273,9 тыс. рублей или 110,9 % в связи с увеличением ставок по госпошлине,  поступлений по делам, рассматриваемыми в судах общей юрисдикции и мировыми судьями, а также ростом количества обращений по регистрации прав на  недвижимое  имущество.                                                     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Неналоговые доходы.</w:t>
                  </w:r>
                </w:p>
                <w:p w:rsidR="00921E10" w:rsidRDefault="00DF313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2024 году поступление н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еналого</w:t>
                  </w:r>
                  <w:r>
                    <w:rPr>
                      <w:color w:val="000000"/>
                      <w:sz w:val="28"/>
                      <w:szCs w:val="28"/>
                    </w:rPr>
                    <w:t>вых доходов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в бюджет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муниципального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района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составило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131 075,8 тыс. рублей или 94,9 % к уточненным годовым бюджетным назначениям. Обеспечено выполнение уточненных плановых показателей по всем видам неналоговых доходов.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Наибольший удельный вес в объеме неналоговых доходов бюджета района занимают в 2024 году доходы от продажи материальных и нематериальных активов (11,2 %), доходы от использования имущества (8,7 %), платежи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за 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природными ресурсами (6,0 %). К аналогичному периоду прошлого года (117 741,7 тыс. рублей), поступление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неналоговых доходов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увеличилось на 13 334,1 тыс. рублей или на 111,3 %.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 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Доходы от использования имущества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находящегося в государственной и муниципальной собственности.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Исполнение за 2024 год по данному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виду доходов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составило 38 291,1 тыс. рублей или 102,6 % от годового плана. Удельный вес к налоговым или неналоговым доходам составил 8,7 %: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проценты, полученные от предоставления бюджетных кредитов за счет средств бюджета – 112,4 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от арендной платы за земельные участки – 36 523,9</w:t>
                  </w:r>
                  <w:r w:rsidR="00991FCF"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доходы от сдачи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в аренду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имущества – 910,6 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плата по соглашениям об установлении сервитута – 703,40 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прочие доходы от использования имущества – 40,8 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сравнению с прошлым годом (35 910 тыс. рублей) доходы увеличились на 2 381,1 тыс. рублей или 106,6 % за счет  неравномерности арендных платежей АО "Самаранефтегаз", роста начислений по арендным платежам и погашения задолженности за истекший период по договорам аренды физическими лицами.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Платежи при пользовании природными ресурсами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Сформированы за счет платы за негативное воздействие на окружающую среду. Сумма поступлений в бюджет муниципального района составила 26 547,5 тыс. рублей или 70,3 % от годового плана. Удельный вес к налоговым и неналоговым доходам составил 6,0 %.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(41 166,5 тыс. рублей) снижение составило 14 619,0 тыс. рублей или  64,5 %. Уменьшение поступлений обусловлено неравномерной оплатой от ЗАО "Экология-сервис" за размещение отходов (на полигоне).</w:t>
                  </w:r>
                </w:p>
                <w:p w:rsidR="00991FCF" w:rsidRDefault="006438EE">
                  <w:pPr>
                    <w:ind w:firstLine="70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от оказания платных услуг и компенсации затрат государства </w:t>
                  </w:r>
                </w:p>
                <w:p w:rsidR="00991FCF" w:rsidRDefault="00991FCF" w:rsidP="00991FC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ри годовых назначениях 77,6 тыс. рублей, исполнение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 данному виду доходов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составило 100 %. По сравнению с прошлым годом (383,7 тыс. рублей) доходы уменьшились на 306,1 тыс. рублей или 20,2 % в связи с тем, что в 2023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lastRenderedPageBreak/>
                    <w:t>году был возврат остатков дебиторской задолженности прошлых лет (МКУ "Управление КС И МП" мр Кинельский). </w:t>
                  </w:r>
                </w:p>
                <w:p w:rsidR="00991FCF" w:rsidRDefault="006438EE" w:rsidP="00991FCF">
                  <w:pPr>
                    <w:ind w:firstLine="70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91FCF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от продажи материальных и нематериальных активов</w:t>
                  </w:r>
                </w:p>
                <w:p w:rsidR="00991FCF" w:rsidRDefault="00991FCF" w:rsidP="00991FCF">
                  <w:pPr>
                    <w:ind w:firstLine="700"/>
                    <w:jc w:val="both"/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ри годовых назначениях</w:t>
                  </w:r>
                  <w:r w:rsidR="006438E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46 425,7 тыс. рублей, исполнение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данному виду доходов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за  2024 г составило 49 413,6  тыс. рублей, или 106,4 %. Удельный вес к </w:t>
                  </w:r>
                  <w:r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алоговым и неналоговым доходам составил 11,2 %.</w:t>
                  </w:r>
                </w:p>
                <w:p w:rsidR="00921E10" w:rsidRDefault="006438EE" w:rsidP="00991FC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сравнению с прошлым годом (34 191,4  тыс. рублей) исполнение выше на 30 504,3 тыс. рублей или 144,5% в связи с увеличением спроса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на приобретение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земельных участков (ООО "Агрокомплекс им. Калягина, физические лица) и имущества (физические лица) согласно прогнозному плану приватизации.                                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Штрафы, санкции, возмещение ущерба.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Исполнение 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 xml:space="preserve">по данному виду доходов </w:t>
                  </w:r>
                  <w:r>
                    <w:rPr>
                      <w:color w:val="000000"/>
                      <w:sz w:val="28"/>
                      <w:szCs w:val="28"/>
                    </w:rPr>
                    <w:t>за 2024 год составило 16 466,7 тыс. рублей, или 100,7 %. Удельный вес к налоговым и неналоговым доходам составил 3,7 %.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сравнению с прошлым годом (6 036,9 тыс. рублей) рост на 10 429,8 тыс. рублей или  272,8 % в связи с возмещением АО "Самаранефтегаз" убытко</w:t>
                  </w:r>
                  <w:r w:rsidR="00991FCF">
                    <w:rPr>
                      <w:color w:val="000000"/>
                      <w:sz w:val="28"/>
                      <w:szCs w:val="28"/>
                    </w:rPr>
                    <w:t>в за снос зеленых насаждений 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биологическую рекультивацию, а также поступлением неосновательного обогащения от физического лица (использование земельного участка без законного основания).</w:t>
                  </w:r>
                </w:p>
                <w:p w:rsidR="00991FCF" w:rsidRDefault="006438EE">
                  <w:pPr>
                    <w:ind w:firstLine="70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Прочие неналоговые доходы </w:t>
                  </w:r>
                </w:p>
                <w:p w:rsidR="00921E10" w:rsidRDefault="00991FC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ри годовых назначениях 279,3 тыс. рублей, исполнение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данному виду доходов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за 2024 год составило 525,0 тыс. рублей, или 128,1 %. По сравнению с прошлым годом (53,2 тыс. рублей) исполнение по прочим неналоговым доходам выше на 226,1 тыс. рублей.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Рост связан с поступлением средств за право заключения договоров на установку и эксплуатацию рекламных конструкций от Министерства имущественных отношений Самарской области в сумме 218 тыс. рублей, а также с увеличением сумм невыясненных поступлений.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   Безвозмездные поступления.</w:t>
                  </w:r>
                </w:p>
                <w:p w:rsidR="00921E10" w:rsidRDefault="00991FC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Безвозмездные поступления исполнены в сумме  378 703,0 тыс. рублей  при годовом плане 385 055,1 тыс. рублей  или 98,4 % от годового планового назначения, в том числе:</w:t>
                  </w:r>
                </w:p>
                <w:p w:rsidR="00921E10" w:rsidRDefault="00991FCF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дотации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 – 99 140,9 тыс. рублей (100,0 %);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– 37 508,5 тыс. рублей (98,8 %); 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субвенции – 104 893,3 тыс. рублей (94,7 %); 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иные межбюджетные трансферты – 136 200,5  тыс. рублей (100,0 %);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поселений- 1 054,6 тыс. рублей;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-возврат остатков субсидий, субвенций и иных межбюджетных трансфертов, имеющих целевое назначение прошлых лет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 из бюджетов муниципальных районов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(-94,8) тыс. рублей.</w:t>
                  </w:r>
                </w:p>
                <w:p w:rsidR="00921E10" w:rsidRDefault="006438EE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Исполнение плана ниже 100% по субсидиям и субвенциям, сложилось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результате фактической потребности и экономии по результатам проведения конкурсных процедур. </w:t>
                  </w:r>
                </w:p>
                <w:p w:rsidR="00FA34FC" w:rsidRDefault="00FA34FC">
                  <w:pPr>
                    <w:ind w:firstLine="70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921E10" w:rsidRDefault="006438EE">
                  <w:pPr>
                    <w:ind w:firstLine="70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РАСХОДЫ</w:t>
                  </w:r>
                </w:p>
                <w:p w:rsidR="0093243B" w:rsidRDefault="0093243B">
                  <w:pPr>
                    <w:ind w:firstLine="700"/>
                    <w:jc w:val="both"/>
                  </w:pPr>
                </w:p>
                <w:p w:rsidR="00921E10" w:rsidRDefault="0093243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Бюджет муниципального района по расходам исполнен на 92,1 % (план – 835 817,3 тыс. рублей, кассовые расходы – 769 452,7 тыс. рублей)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Основное неисполнение расходной части бюджета произошло по разделам 0111, 0309, 0405, 0408 0505, 0605, 0702, 1004.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По разделу 0111 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не было </w:t>
                  </w:r>
                  <w:r>
                    <w:rPr>
                      <w:color w:val="000000"/>
                      <w:sz w:val="28"/>
                      <w:szCs w:val="28"/>
                    </w:rPr>
                    <w:t>расходов в связи с отсутствием чрезвычайных ситуаций в районе.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По разделу 0309 экономия образовалась по результатам проведения конкурсных процедур по закупкам на техническое обслуживание оборудования систем экстренного оповещения населения об угрозе ЧС, а также ввиду отсутствия ЧС на территории муниципального района Кинельский.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По разделу 0405 в рамках муниципальной про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граммы "Развитие  сельского   </w:t>
                  </w:r>
                  <w:r>
                    <w:rPr>
                      <w:color w:val="000000"/>
                      <w:sz w:val="28"/>
                      <w:szCs w:val="28"/>
                    </w:rPr>
                    <w:t>хозяй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ства и регулирования рынков </w:t>
                  </w:r>
                  <w:r>
                    <w:rPr>
                      <w:color w:val="000000"/>
                      <w:sz w:val="28"/>
                      <w:szCs w:val="28"/>
                    </w:rPr>
                    <w:t>сельскохо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зяйственной продукции, сырья и </w:t>
                  </w:r>
                  <w:r>
                    <w:rPr>
                      <w:color w:val="000000"/>
                      <w:sz w:val="28"/>
                      <w:szCs w:val="28"/>
                    </w:rPr>
                    <w:t>продовольств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ия  муниципального района Кинельский  </w:t>
                  </w:r>
                  <w:r>
                    <w:rPr>
                      <w:color w:val="000000"/>
                      <w:sz w:val="28"/>
                      <w:szCs w:val="28"/>
                    </w:rPr>
                    <w:t>Самарской области на 2024-2033 гг." не в полном объёме использованы средства областного бюджета на содержание маточного поголовья крупного рогатого скота в связи с наличием инфицированных животных.</w:t>
                  </w:r>
                </w:p>
                <w:p w:rsidR="00921E10" w:rsidRDefault="0093243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По разделу 0408 расходы произведены по ф</w:t>
                  </w:r>
                  <w:r>
                    <w:rPr>
                      <w:color w:val="000000"/>
                      <w:sz w:val="28"/>
                      <w:szCs w:val="28"/>
                    </w:rPr>
                    <w:t>актической потребности, в связи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с чем образовалась экономия.</w:t>
                  </w:r>
                </w:p>
                <w:p w:rsidR="00921E10" w:rsidRDefault="0093243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По разделу 0505 остались лимиты по "переходящим муниципальным контрактам"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</w:t>
                  </w:r>
                  <w:r w:rsidR="0093243B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color w:val="000000"/>
                      <w:sz w:val="28"/>
                      <w:szCs w:val="28"/>
                    </w:rPr>
                    <w:t>В соответствии с внесёнными изменениями в ст.16.6, 75.1, 78.2 Федерального закона от 10.01.2022 № 7-ФЗ "Об охране окружающей среды" доходы, поступающие  в бюджет в соответствии с вышеуказанными статьями должны направляться на природоохранные мероприятия.  По разделу 0605 сложилась экономия в связи с наличием остатка средств на 01.01.2023 г и по результатам проведения конкурсных процедур.  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По разделу 0702 экономия сложилась по результатам проведения конкурсных процедур. Также в связи с погодными условиями сложилась экономия по оплате коммунальных услуг общеобразовательных учреждений муниципального района Кинельский.</w:t>
                  </w:r>
                </w:p>
                <w:p w:rsidR="00921E10" w:rsidRDefault="0093243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По разделу 1004 выплаты приёмным семьям произведены </w:t>
                  </w:r>
                  <w:r>
                    <w:rPr>
                      <w:color w:val="000000"/>
                      <w:sz w:val="28"/>
                      <w:szCs w:val="28"/>
                    </w:rPr>
                    <w:t>исходя из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 фактической потребности. Также экономия образовалась по результатам проведения конкурсных процедур по закупкам на приобретение жилья детям-сиротам. </w:t>
                  </w:r>
                </w:p>
                <w:p w:rsidR="0093243B" w:rsidRDefault="0093243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3243B" w:rsidRDefault="0093243B">
                  <w:pPr>
                    <w:jc w:val="both"/>
                  </w:pPr>
                </w:p>
                <w:p w:rsidR="00921E10" w:rsidRPr="0093243B" w:rsidRDefault="006438EE" w:rsidP="0093243B">
                  <w:pPr>
                    <w:jc w:val="center"/>
                    <w:rPr>
                      <w:b/>
                    </w:rPr>
                  </w:pPr>
                  <w:r w:rsidRPr="0093243B">
                    <w:rPr>
                      <w:b/>
                      <w:color w:val="000000"/>
                      <w:sz w:val="28"/>
                      <w:szCs w:val="28"/>
                    </w:rPr>
                    <w:t>Структура   бюджета  муниципального района в разрезе разделов классификации расходов бюджетов бюджетной системы Российской Федерации за 2024 год</w:t>
                  </w:r>
                  <w:r w:rsidR="0093243B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A34FC" w:rsidRDefault="00FA34FC">
                  <w:pPr>
                    <w:spacing w:before="190" w:after="190"/>
                    <w:jc w:val="both"/>
                  </w:pPr>
                </w:p>
                <w:p w:rsidR="00921E10" w:rsidRDefault="00921E1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2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4"/>
                    <w:gridCol w:w="3673"/>
                    <w:gridCol w:w="2402"/>
                  </w:tblGrid>
                  <w:tr w:rsidR="00FA34FC" w:rsidTr="00FA34FC">
                    <w:trPr>
                      <w:trHeight w:val="230"/>
                    </w:trPr>
                    <w:tc>
                      <w:tcPr>
                        <w:tcW w:w="395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ind w:left="20" w:right="-5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раздела</w:t>
                        </w:r>
                      </w:p>
                    </w:tc>
                    <w:tc>
                      <w:tcPr>
                        <w:tcW w:w="36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 w:rsidP="0093243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Исполнено за 2024 год в тыс.рублей</w:t>
                        </w:r>
                      </w:p>
                    </w:tc>
                    <w:tc>
                      <w:tcPr>
                        <w:tcW w:w="240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 w:rsidP="0093243B">
                        <w:pPr>
                          <w:ind w:right="-38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Удельный вес,%</w:t>
                        </w:r>
                      </w:p>
                    </w:tc>
                  </w:tr>
                  <w:tr w:rsidR="00FA34FC" w:rsidTr="00FA34FC">
                    <w:trPr>
                      <w:trHeight w:val="1"/>
                    </w:trPr>
                    <w:tc>
                      <w:tcPr>
                        <w:tcW w:w="3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7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</w:tr>
                  <w:tr w:rsidR="00FA34FC" w:rsidTr="00FA34FC">
                    <w:trPr>
                      <w:trHeight w:val="1"/>
                    </w:trPr>
                    <w:tc>
                      <w:tcPr>
                        <w:tcW w:w="3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67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0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FA34FC" w:rsidRDefault="00FA34FC">
                        <w:pPr>
                          <w:spacing w:line="1" w:lineRule="auto"/>
                        </w:pP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91 652,9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11,91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248,7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0,03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4 694,7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0,61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152 944,8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19,88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159 634,8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20,75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62 738,9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8,15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119 199,3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15,49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 и кинематография 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47 576,3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6,18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68 517,2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8,91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4 845,7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0,63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 w:rsidP="0093243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6 409,6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0,83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50 989,8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6,63</w:t>
                        </w:r>
                      </w:p>
                    </w:tc>
                  </w:tr>
                  <w:tr w:rsidR="00FA34FC" w:rsidTr="00FA34FC">
                    <w:tc>
                      <w:tcPr>
                        <w:tcW w:w="3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3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769 452,7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FA34FC" w:rsidRDefault="00FA34FC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100,00</w:t>
                        </w:r>
                      </w:p>
                    </w:tc>
                  </w:tr>
                </w:tbl>
                <w:p w:rsidR="00FA34FC" w:rsidRDefault="00FA34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93243B" w:rsidRDefault="0093243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93243B" w:rsidRDefault="0093243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921E10" w:rsidRDefault="006438E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№1</w:t>
                  </w:r>
                </w:p>
                <w:p w:rsidR="00FA34FC" w:rsidRDefault="00FA34FC">
                  <w:pPr>
                    <w:jc w:val="right"/>
                  </w:pPr>
                </w:p>
                <w:p w:rsidR="00921E10" w:rsidRPr="0093243B" w:rsidRDefault="006438EE" w:rsidP="0093243B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93243B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Исполнение доходов  бюджета муниципального района  Кинельский</w:t>
                  </w:r>
                  <w:r w:rsidR="0093243B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93243B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за 2024 год</w:t>
                  </w:r>
                </w:p>
                <w:p w:rsidR="00FA34FC" w:rsidRDefault="00FA34FC">
                  <w:pPr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Style w:val="a4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1134"/>
                    <w:gridCol w:w="1135"/>
                    <w:gridCol w:w="1133"/>
                    <w:gridCol w:w="1135"/>
                    <w:gridCol w:w="709"/>
                    <w:gridCol w:w="707"/>
                    <w:gridCol w:w="852"/>
                    <w:gridCol w:w="836"/>
                  </w:tblGrid>
                  <w:tr w:rsidR="00FA34FC" w:rsidRPr="0051004A" w:rsidTr="00FA34FC">
                    <w:trPr>
                      <w:trHeight w:val="299"/>
                    </w:trPr>
                    <w:tc>
                      <w:tcPr>
                        <w:tcW w:w="1142" w:type="pct"/>
                        <w:vMerge w:val="restar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572" w:type="pct"/>
                        <w:vMerge w:val="restar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Факт 2023год (тыс. руб.)</w:t>
                        </w:r>
                      </w:p>
                    </w:tc>
                    <w:tc>
                      <w:tcPr>
                        <w:tcW w:w="573" w:type="pct"/>
                        <w:vMerge w:val="restar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Уточненный план 2024 год (тыс. руб.)</w:t>
                        </w:r>
                      </w:p>
                    </w:tc>
                    <w:tc>
                      <w:tcPr>
                        <w:tcW w:w="572" w:type="pct"/>
                        <w:vMerge w:val="restart"/>
                        <w:hideMark/>
                      </w:tcPr>
                      <w:p w:rsidR="00FA34FC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Факт 2024 год </w:t>
                        </w:r>
                      </w:p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( тыс. руб.)</w:t>
                        </w:r>
                      </w:p>
                    </w:tc>
                    <w:tc>
                      <w:tcPr>
                        <w:tcW w:w="573" w:type="pct"/>
                        <w:vMerge w:val="restar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Отклонение факта 2024 г. от факта 2023г.                (тыс. руб.)</w:t>
                        </w:r>
                      </w:p>
                    </w:tc>
                    <w:tc>
                      <w:tcPr>
                        <w:tcW w:w="1567" w:type="pct"/>
                        <w:gridSpan w:val="4"/>
                        <w:vMerge w:val="restar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% выполнения за  2024год</w:t>
                        </w:r>
                      </w:p>
                    </w:tc>
                  </w:tr>
                  <w:tr w:rsidR="00FA34FC" w:rsidRPr="0051004A" w:rsidTr="00FA34FC">
                    <w:trPr>
                      <w:trHeight w:val="299"/>
                    </w:trPr>
                    <w:tc>
                      <w:tcPr>
                        <w:tcW w:w="114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3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3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67" w:type="pct"/>
                        <w:gridSpan w:val="4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FA34FC" w:rsidRPr="0051004A" w:rsidTr="00FA34FC">
                    <w:trPr>
                      <w:trHeight w:val="1726"/>
                    </w:trPr>
                    <w:tc>
                      <w:tcPr>
                        <w:tcW w:w="114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3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2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73" w:type="pct"/>
                        <w:vMerge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к факту 2023 года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к уточненному плану на 2024 года</w:t>
                        </w:r>
                      </w:p>
                    </w:tc>
                    <w:tc>
                      <w:tcPr>
                        <w:tcW w:w="430" w:type="pc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Уд.вес к общему объему доходов  за 2024 года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FA34FC" w:rsidRPr="0051004A" w:rsidRDefault="00FA34FC" w:rsidP="00AC2C59">
                        <w:pPr>
                          <w:jc w:val="center"/>
                          <w:rPr>
                            <w:bCs/>
                          </w:rPr>
                        </w:pPr>
                        <w:r w:rsidRPr="0051004A">
                          <w:rPr>
                            <w:bCs/>
                          </w:rPr>
                          <w:t>Уд.вес к налоговым и неналоговым доходам за 2024 года</w:t>
                        </w:r>
                      </w:p>
                    </w:tc>
                  </w:tr>
                  <w:tr w:rsidR="00FA34FC" w:rsidRPr="0051004A" w:rsidTr="00FA34FC">
                    <w:trPr>
                      <w:trHeight w:val="585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Доходы всего: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620 392,3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824 607,0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819 304,8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198 912,5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132,1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99,4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39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</w:tr>
                  <w:tr w:rsidR="00FA34FC" w:rsidRPr="0051004A" w:rsidTr="00FA34FC">
                    <w:trPr>
                      <w:trHeight w:val="615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lastRenderedPageBreak/>
                          <w:t>налоговые и неналоговые доходы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327 347,7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439 551,9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440 601,8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113 254,1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134,6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100,2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53,8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X</w:t>
                        </w:r>
                      </w:p>
                    </w:tc>
                  </w:tr>
                  <w:tr w:rsidR="00FA34FC" w:rsidRPr="0051004A" w:rsidTr="00FA34FC">
                    <w:trPr>
                      <w:trHeight w:val="479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209 606,0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301 396,3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309 526,0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99 920,0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147,7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102,7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37,8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70,3</w:t>
                        </w:r>
                      </w:p>
                    </w:tc>
                  </w:tr>
                  <w:tr w:rsidR="00FA34FC" w:rsidRPr="0051004A" w:rsidTr="00FA34FC">
                    <w:trPr>
                      <w:trHeight w:val="479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НДФЛ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165 102,6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252 360,6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260 484,4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95 381,8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157,8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103,2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31,8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59,1</w:t>
                        </w:r>
                      </w:p>
                    </w:tc>
                  </w:tr>
                  <w:tr w:rsidR="00FA34FC" w:rsidRPr="0051004A" w:rsidTr="00FA34FC">
                    <w:trPr>
                      <w:trHeight w:val="602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УСНО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31 373,4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37 565,9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37 570,8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6 197,4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119,8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4,6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8,5</w:t>
                        </w:r>
                      </w:p>
                    </w:tc>
                  </w:tr>
                  <w:tr w:rsidR="00FA34FC" w:rsidRPr="0051004A" w:rsidTr="00FA34FC">
                    <w:trPr>
                      <w:trHeight w:val="479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ЕНВД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-47,1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8,2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8,2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55,3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-17,4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</w:tr>
                  <w:tr w:rsidR="00FA34FC" w:rsidRPr="0051004A" w:rsidTr="00FA34FC">
                    <w:trPr>
                      <w:trHeight w:val="479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-единый сельскохозяйственный налог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9 870,6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6 486,0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6 486,0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-3 384,6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65,7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0,8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1,5</w:t>
                        </w:r>
                      </w:p>
                    </w:tc>
                  </w:tr>
                  <w:tr w:rsidR="00FA34FC" w:rsidRPr="0051004A" w:rsidTr="00FA34FC">
                    <w:trPr>
                      <w:trHeight w:val="975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налог, взимаемый в связи с применением патентной системы налогообложения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804,5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2 200,7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2 200,7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1 396,2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273,5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0,3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0,5</w:t>
                        </w:r>
                      </w:p>
                    </w:tc>
                  </w:tr>
                  <w:tr w:rsidR="00FA34FC" w:rsidRPr="0051004A" w:rsidTr="00FA34FC">
                    <w:trPr>
                      <w:trHeight w:val="374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государственная пошлина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2 502,0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2 774,9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2 775,9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273,9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110,9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0,3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0,6</w:t>
                        </w:r>
                      </w:p>
                    </w:tc>
                  </w:tr>
                  <w:tr w:rsidR="00FA34FC" w:rsidRPr="0051004A" w:rsidTr="00FA34FC">
                    <w:trPr>
                      <w:trHeight w:val="360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-прочие налоговые доходы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</w:tr>
                  <w:tr w:rsidR="00FA34FC" w:rsidRPr="0051004A" w:rsidTr="00FA34FC">
                    <w:trPr>
                      <w:trHeight w:val="32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117 741,7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138 155,6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131 075,8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13 334,1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111,3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94,9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16,0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29,7</w:t>
                        </w:r>
                      </w:p>
                    </w:tc>
                  </w:tr>
                  <w:tr w:rsidR="00FA34FC" w:rsidRPr="0051004A" w:rsidTr="00FA34FC">
                    <w:trPr>
                      <w:trHeight w:val="1186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35 910,0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37 306,1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38 291,1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2 381,1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106,6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102,6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4,7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8,7</w:t>
                        </w:r>
                      </w:p>
                    </w:tc>
                  </w:tr>
                  <w:tr w:rsidR="00FA34FC" w:rsidRPr="0051004A" w:rsidTr="00FA34FC">
                    <w:trPr>
                      <w:trHeight w:val="765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платежи при пользовании природными ресурсами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41 166,5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37 771,7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26 547,5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-14 619,0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64,5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70,3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3,2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6,0</w:t>
                        </w:r>
                      </w:p>
                    </w:tc>
                  </w:tr>
                  <w:tr w:rsidR="00FA34FC" w:rsidRPr="0051004A" w:rsidTr="00FA34FC">
                    <w:trPr>
                      <w:trHeight w:val="887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383,7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77,6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77,6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-306,1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20,2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</w:tr>
                  <w:tr w:rsidR="00FA34FC" w:rsidRPr="0051004A" w:rsidTr="00FA34FC">
                    <w:trPr>
                      <w:trHeight w:val="93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34 191,4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46 425,7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49 413,6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15 222,2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144,5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106,4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6,0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11,2</w:t>
                        </w:r>
                      </w:p>
                    </w:tc>
                  </w:tr>
                  <w:tr w:rsidR="00FA34FC" w:rsidRPr="0051004A" w:rsidTr="00FA34FC">
                    <w:trPr>
                      <w:trHeight w:val="452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 штрафы, санкции, возмещение ущерба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6 036,9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16 356,5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16 466,7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10 429,8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272,8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100,7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2,0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3,7</w:t>
                        </w:r>
                      </w:p>
                    </w:tc>
                  </w:tr>
                  <w:tr w:rsidR="00FA34FC" w:rsidRPr="0051004A" w:rsidTr="00FA34FC">
                    <w:trPr>
                      <w:trHeight w:val="527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-прочие неналоговые доходы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53,2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218,0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279,3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226,1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525,0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>
                          <w:t>128,1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0,1</w:t>
                        </w:r>
                      </w:p>
                    </w:tc>
                  </w:tr>
                  <w:tr w:rsidR="00FA34FC" w:rsidRPr="0051004A" w:rsidTr="00FA34FC">
                    <w:trPr>
                      <w:trHeight w:val="347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293 044,6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385 055,1</w:t>
                        </w:r>
                      </w:p>
                    </w:tc>
                    <w:tc>
                      <w:tcPr>
                        <w:tcW w:w="572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378 703,0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85 658,4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129,2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98,4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46,2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258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в том числе: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pPr>
                          <w:rPr>
                            <w:b/>
                            <w:bCs/>
                          </w:rPr>
                        </w:pPr>
                        <w:r w:rsidRPr="0051004A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/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 </w:t>
                        </w:r>
                      </w:p>
                    </w:tc>
                  </w:tr>
                  <w:tr w:rsidR="00FA34FC" w:rsidRPr="0051004A" w:rsidTr="00FA34FC">
                    <w:trPr>
                      <w:trHeight w:val="91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88 871,0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99 140,9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99 140,9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10 269,9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111,6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12,1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720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 xml:space="preserve">Субсидии бюджетам субъектов РФ и муниципальных образований 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24 312,7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37 957,3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37 508,5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13 195,8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154,3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98,8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4,6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843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lastRenderedPageBreak/>
                          <w:t>Субвенции бюджетам субъектов РФ и муниципальных образований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75 501,3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110 796,6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104 893,3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29 392,0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138,9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94,7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12,8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489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Иные межбюджетные трансферты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102 942,3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136 200,5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136 200,5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33 258,2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132,3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16,6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57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1 430,0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-1 430,0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1607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1 054,6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1 054,6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1 054,6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0,1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  <w:tr w:rsidR="00FA34FC" w:rsidRPr="0051004A" w:rsidTr="00FA34FC">
                    <w:trPr>
                      <w:trHeight w:val="1291"/>
                    </w:trPr>
                    <w:tc>
                      <w:tcPr>
                        <w:tcW w:w="1142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Возврат остатков субсидий, субвенций и иных межбюджетных трансфертов, имеющих целевое назначение, прошлых лет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-12,7</w:t>
                        </w:r>
                      </w:p>
                    </w:tc>
                    <w:tc>
                      <w:tcPr>
                        <w:tcW w:w="573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-94,8</w:t>
                        </w:r>
                      </w:p>
                    </w:tc>
                    <w:tc>
                      <w:tcPr>
                        <w:tcW w:w="57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-94,8</w:t>
                        </w:r>
                      </w:p>
                    </w:tc>
                    <w:tc>
                      <w:tcPr>
                        <w:tcW w:w="573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-82,1</w:t>
                        </w:r>
                      </w:p>
                    </w:tc>
                    <w:tc>
                      <w:tcPr>
                        <w:tcW w:w="358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746,5</w:t>
                        </w:r>
                      </w:p>
                    </w:tc>
                    <w:tc>
                      <w:tcPr>
                        <w:tcW w:w="357" w:type="pct"/>
                        <w:hideMark/>
                      </w:tcPr>
                      <w:p w:rsidR="00FA34FC" w:rsidRPr="0051004A" w:rsidRDefault="00FA34FC" w:rsidP="00AC2C59">
                        <w:r w:rsidRPr="0051004A">
                          <w:t>100,0</w:t>
                        </w:r>
                      </w:p>
                    </w:tc>
                    <w:tc>
                      <w:tcPr>
                        <w:tcW w:w="430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0,0</w:t>
                        </w:r>
                      </w:p>
                    </w:tc>
                    <w:tc>
                      <w:tcPr>
                        <w:tcW w:w="422" w:type="pct"/>
                        <w:noWrap/>
                        <w:hideMark/>
                      </w:tcPr>
                      <w:p w:rsidR="00FA34FC" w:rsidRPr="0051004A" w:rsidRDefault="00FA34FC" w:rsidP="00AC2C59">
                        <w:r w:rsidRPr="0051004A">
                          <w:t>Х</w:t>
                        </w:r>
                      </w:p>
                    </w:tc>
                  </w:tr>
                </w:tbl>
                <w:p w:rsidR="00FA34FC" w:rsidRDefault="00FA34FC">
                  <w:pPr>
                    <w:jc w:val="both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FA34FC" w:rsidRDefault="00FA34FC">
                  <w:pPr>
                    <w:jc w:val="both"/>
                  </w:pPr>
                </w:p>
                <w:p w:rsidR="00921E10" w:rsidRDefault="00921E10">
                  <w:pPr>
                    <w:rPr>
                      <w:vanish/>
                    </w:rPr>
                  </w:pP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В Раздел 3 «Анализ отчета об исполнении бюджета субъектом бюджетной отчетности» входят следующие формы: "Сведения ведения об исполнении текстовых статей закона (решения) о бюджете (таблица № 3);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Анализ отчета об исполнении бюджета (таблица № 13);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бюджета (ф. 0503164);</w:t>
                  </w: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мероприятий в рамках целевых программ (ф. 0503166).</w:t>
                  </w:r>
                </w:p>
                <w:p w:rsidR="00921E10" w:rsidRDefault="00921E10">
                  <w:pPr>
                    <w:spacing w:before="190" w:after="190"/>
                    <w:jc w:val="both"/>
                  </w:pPr>
                </w:p>
                <w:p w:rsidR="00921E10" w:rsidRDefault="006438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21E10" w:rsidTr="00FA34FC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21E10" w:rsidTr="00FA34FC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21E10" w:rsidRDefault="00DA353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Бухгалтерский учет ведется в соответствии с инструкцией 152н и 162н "Об утверждении плана счетов бюджетного учета и инструкции по его применению". Отчетность составляется согласно приказу МФ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РФ.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Информация по данному  разделу представлена в следующих формах:     </w:t>
                  </w:r>
                  <w:r w:rsidR="00DA353A">
                    <w:rPr>
                      <w:color w:val="000000"/>
                      <w:sz w:val="28"/>
                      <w:szCs w:val="28"/>
                    </w:rPr>
                    <w:t>Отчет об исполнении по нацпроектам (ф. 0503117 (НП)</w:t>
                  </w:r>
                  <w:r>
                    <w:rPr>
                      <w:color w:val="000000"/>
                      <w:sz w:val="28"/>
                      <w:szCs w:val="28"/>
                    </w:rPr>
                    <w:t>); </w:t>
                  </w:r>
                </w:p>
                <w:p w:rsidR="00DA353A" w:rsidRDefault="00DA353A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Отчет о принятых бюджетных обязательствах (ф. 0503128)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;  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 движении нефинансовых активов (ф. 0503168);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 (ф. 0503169);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финансовых вложениях получателя бюджетных средств, администратора источников финансирования дефицита бюджета (ф. 0503171);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государственном (муниципальном) долге, предоставленных бюджетных кредитах (ф. 0503172);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(ф. 0503173);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 (ф. 0503178);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вложениях в объекты недвижимого имущества, объектах незавершенного строительства (ф. 0503190);</w:t>
                  </w:r>
                </w:p>
                <w:p w:rsidR="00921E10" w:rsidRDefault="00DA353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В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2024 году в рамках национальных проектов были запланированы и израсходованы по состоянию на 01.01.2025 года следующие денежные средства: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Федеральный проект "Формирование комфортной городской среды"  в рамках муниципаль</w:t>
                  </w:r>
                  <w:r w:rsidR="00DA353A">
                    <w:rPr>
                      <w:color w:val="000000"/>
                      <w:sz w:val="28"/>
                      <w:szCs w:val="28"/>
                    </w:rPr>
                    <w:t>ной программы м.р. Кинельский «</w:t>
                  </w:r>
                  <w:r>
                    <w:rPr>
                      <w:color w:val="000000"/>
                      <w:sz w:val="28"/>
                      <w:szCs w:val="28"/>
                    </w:rPr>
                    <w:t>Формирование современной комфортной городской среды муниципального района Кинельски</w:t>
                  </w:r>
                  <w:r w:rsidR="00DA353A">
                    <w:rPr>
                      <w:color w:val="000000"/>
                      <w:sz w:val="28"/>
                      <w:szCs w:val="28"/>
                    </w:rPr>
                    <w:t>й Самарской области на 2018 год</w:t>
                  </w:r>
                  <w:r>
                    <w:rPr>
                      <w:color w:val="000000"/>
                      <w:sz w:val="28"/>
                      <w:szCs w:val="28"/>
                    </w:rPr>
                    <w:t>-2024 годы» - запланировано 9338294,88 рубля, израсходовано – 9338294,88 рубля.</w:t>
                  </w:r>
                  <w:r w:rsidR="00DA353A"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Исполнитель МБУ «Управления строительства, архитектуры и ЖКХ Кинельского района».</w:t>
                  </w:r>
                </w:p>
                <w:p w:rsidR="00DB62C1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В форме отчетности 0503169 - дебиторская задолженность по счету 120551 образовалась в результате начисления доходов будущих</w:t>
                  </w:r>
                  <w:r w:rsidR="00DA353A">
                    <w:rPr>
                      <w:color w:val="000000"/>
                      <w:sz w:val="28"/>
                      <w:szCs w:val="28"/>
                    </w:rPr>
                    <w:t xml:space="preserve"> периодов на 2025, 2026 и 2027 года в сумме 110856722,77  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, такая же сумма фигурирует в разделе кредиторско</w:t>
                  </w:r>
                  <w:r w:rsidR="00DA353A">
                    <w:rPr>
                      <w:color w:val="000000"/>
                      <w:sz w:val="28"/>
                      <w:szCs w:val="28"/>
                    </w:rPr>
                    <w:t>й задолженности по счету 140140 - 110856722,77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.  Просроченная дебиторская задолженность по состоянию на 01.01.2025 года уме</w:t>
                  </w:r>
                  <w:r w:rsidR="00AB6A6F">
                    <w:rPr>
                      <w:color w:val="000000"/>
                      <w:sz w:val="28"/>
                      <w:szCs w:val="28"/>
                    </w:rPr>
                    <w:t xml:space="preserve">ньшилась на 746598,71 рублей 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составила 3039346,71 рублей. Кредиторская задолженность по счету 205.81 образовалась в связи с увеличением невыясненных поступлений 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>на 61304,92 рубля. Д</w:t>
                  </w:r>
                  <w:r>
                    <w:rPr>
                      <w:color w:val="000000"/>
                      <w:sz w:val="28"/>
                      <w:szCs w:val="28"/>
                    </w:rPr>
                    <w:t>анная сумма образовалась в последние дни декабря 2024 года. В разделе кредиторская задолженность по счету 1.401.60 отражены резервы отп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>усков в сумме 5872878,15 рублей. Р</w:t>
                  </w:r>
                  <w:r>
                    <w:rPr>
                      <w:color w:val="000000"/>
                      <w:sz w:val="28"/>
                      <w:szCs w:val="28"/>
                    </w:rPr>
                    <w:t>езервы по коммунальным услугам, услугам связи, прочим услугам составили 466539,36 рублей. На счете 1401.50 «Расходы будущих периодов» в форме 0503130  учтены расходы   будущих периодов в сумме 9178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>89,28  рублей за приобретенные неисключительные лицензии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2025 год и  взносы на капитальный ремонт за муниципальные квартиры.</w:t>
                  </w:r>
                </w:p>
                <w:p w:rsidR="00921E10" w:rsidRDefault="00DB62C1" w:rsidP="00DB62C1">
                  <w:pPr>
                    <w:spacing w:before="190" w:after="190"/>
                    <w:jc w:val="both"/>
                  </w:pPr>
                  <w:r>
                    <w:t xml:space="preserve">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В 2024 году было выдано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бюджетных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кредитов сельским поселениям на сумму 6 800 000 рублей, возвращено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бюджетных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кре</w:t>
                  </w:r>
                  <w:r>
                    <w:rPr>
                      <w:color w:val="000000"/>
                      <w:sz w:val="28"/>
                      <w:szCs w:val="28"/>
                    </w:rPr>
                    <w:t>дитов на сумму 8 100 000 рублей. П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роценты за пользование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бюджетным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кредитом составили 112 430,70  рублей. В форме 0503171 по счету 204.33 отражена стоимость закрепленного имущества за бюджетными учреждениями </w:t>
                  </w:r>
                  <w:r>
                    <w:rPr>
                      <w:color w:val="000000"/>
                      <w:sz w:val="28"/>
                      <w:szCs w:val="28"/>
                    </w:rPr>
                    <w:t>на сумму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 xml:space="preserve"> 140325039,41 рублей, по счету 215.33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lastRenderedPageBreak/>
                    <w:t>отражена стоимость принятых к учету финансовых активов — вложений в муниципальное учреждение — по сформ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ированной балансовой стоимости на сумму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6 762 743,00 рубля.</w:t>
                  </w:r>
                </w:p>
              </w:tc>
            </w:tr>
          </w:tbl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21E10" w:rsidTr="00FA34FC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21E10" w:rsidTr="00FA34FC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21E10" w:rsidRDefault="00DB62C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6438EE">
                    <w:rPr>
                      <w:color w:val="000000"/>
                      <w:sz w:val="28"/>
                      <w:szCs w:val="28"/>
                    </w:rPr>
                    <w:t>Информация по данному разделу представлена в следующих отчетных формах; 0503166 "Сведения об исполнении мероприятий в рамках целевых программ"; Сведения об исполнении судебных решений по денежным обязательствам бюджета (ф. 0503296).</w:t>
                  </w:r>
                </w:p>
                <w:p w:rsidR="00DB62C1" w:rsidRDefault="006438EE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Раскрытие информации о событиях после отчетной даты: 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для составления</w:t>
                  </w:r>
                  <w:r w:rsidR="00DB62C1"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годового отчета, казенными учреждениями муниципального района проведена инвентаризация расчетов с покупателями, поставщиками и прочими дебиторами и кредиторами, расчетов по поступлениям, наличных денежных средств, нефинансовых активов, финансовых вложений, резервов предстоящих расх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>одов, расходов будущих периодов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По результатам инвентаризации излишек и недостач не выявлено.</w:t>
                  </w:r>
                </w:p>
                <w:p w:rsidR="00747626" w:rsidRDefault="006438EE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Согласно пункту 8 Инструкции о порядке составления и представления</w:t>
                  </w:r>
                  <w:r w:rsidR="00DB62C1"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годовой, квартальной и месячной отчетности об исполнении бюджетов бюджетной системы Российской Федерации, ввиду отсутствия числовых показателей в состав годовой отчетности и пояснительной записки к ней не представлены следующие формы: 0503167 "Сведения о целевых иностранных кре</w:t>
                  </w:r>
                  <w:r w:rsidR="00DB62C1">
                    <w:rPr>
                      <w:color w:val="000000"/>
                      <w:sz w:val="28"/>
                      <w:szCs w:val="28"/>
                    </w:rPr>
                    <w:t xml:space="preserve">дитах"; </w:t>
                  </w:r>
                  <w:r>
                    <w:rPr>
                      <w:color w:val="000000"/>
                      <w:sz w:val="28"/>
                      <w:szCs w:val="28"/>
                    </w:rPr>
                    <w:t>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 Сведения о принятых и неисполненных обязательствах получателя бюджетных средств (ф. 0503175);  0503184 "Справка о сумме консолидированных поступлений, подлежащ</w:t>
                  </w:r>
                  <w:r w:rsidR="00747626">
                    <w:rPr>
                      <w:color w:val="000000"/>
                      <w:sz w:val="28"/>
                      <w:szCs w:val="28"/>
                    </w:rPr>
                    <w:t xml:space="preserve">их зачислению на счет бюджета" и </w:t>
                  </w:r>
                  <w:r w:rsidR="00747626" w:rsidRPr="00747626">
                    <w:rPr>
                      <w:color w:val="000000"/>
                      <w:sz w:val="28"/>
                      <w:szCs w:val="28"/>
                    </w:rPr>
                    <w:t>таблица № 6 "Сведения о проведении инвентаризаций" не представлена из-за отсутствия расхождений по результатам инвентаризации.</w:t>
                  </w:r>
                </w:p>
                <w:p w:rsidR="00921E10" w:rsidRDefault="006438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</w:p>
              </w:tc>
            </w:tr>
          </w:tbl>
          <w:p w:rsidR="00921E10" w:rsidRDefault="00643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1E10" w:rsidTr="00FA34FC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rPr>
          <w:vanish/>
        </w:rPr>
      </w:pPr>
      <w:bookmarkStart w:id="3" w:name="__bookmark_4"/>
      <w:bookmarkEnd w:id="3"/>
    </w:p>
    <w:tbl>
      <w:tblPr>
        <w:tblOverlap w:val="never"/>
        <w:tblW w:w="105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119"/>
        <w:gridCol w:w="141"/>
        <w:gridCol w:w="1700"/>
        <w:gridCol w:w="850"/>
        <w:gridCol w:w="3685"/>
        <w:gridCol w:w="453"/>
        <w:gridCol w:w="566"/>
      </w:tblGrid>
      <w:tr w:rsidR="00921E10" w:rsidTr="00DB62C1">
        <w:tc>
          <w:tcPr>
            <w:tcW w:w="32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21E10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r>
                    <w:rPr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21E10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E10" w:rsidRDefault="006438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Борисова Елена Анатольевна</w:t>
                  </w:r>
                </w:p>
              </w:tc>
            </w:tr>
          </w:tbl>
          <w:p w:rsidR="00921E10" w:rsidRDefault="00921E1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c>
          <w:tcPr>
            <w:tcW w:w="32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2C1" w:rsidRDefault="006438E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  <w:p w:rsidR="00DB62C1" w:rsidRDefault="00DB62C1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rPr>
          <w:trHeight w:val="1"/>
        </w:trPr>
        <w:tc>
          <w:tcPr>
            <w:tcW w:w="105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rPr>
          <w:trHeight w:val="1"/>
        </w:trPr>
        <w:tc>
          <w:tcPr>
            <w:tcW w:w="105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712E07"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8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rPr>
          <w:trHeight w:val="1"/>
        </w:trPr>
        <w:tc>
          <w:tcPr>
            <w:tcW w:w="105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 w:rsidTr="00DB62C1">
        <w:tc>
          <w:tcPr>
            <w:tcW w:w="99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sectPr w:rsidR="00921E10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921E10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 xml:space="preserve">Статья 12. </w:t>
            </w:r>
            <w:r w:rsidRPr="00FB2DF7">
              <w:rPr>
                <w:color w:val="000000"/>
                <w:sz w:val="24"/>
                <w:szCs w:val="24"/>
              </w:rPr>
              <w:br/>
              <w:t>Утвердить объем межбюджетных трансфертов, предоставляемых бюджетам сельских поселений из  бюджета муниципального района:</w:t>
            </w:r>
            <w:r w:rsidRPr="00FB2DF7">
              <w:rPr>
                <w:color w:val="000000"/>
                <w:sz w:val="24"/>
                <w:szCs w:val="24"/>
              </w:rPr>
              <w:br/>
              <w:t xml:space="preserve">в 2024 году - в сумме 50989,8 тыс. рублей, из них в форме дотаций -          </w:t>
            </w:r>
            <w:r w:rsidRPr="00FB2DF7">
              <w:rPr>
                <w:color w:val="000000"/>
                <w:sz w:val="24"/>
                <w:szCs w:val="24"/>
              </w:rPr>
              <w:br/>
              <w:t>8900 тыс. рублей, в форме прочих межбюджетных трансфертов — 42089,8</w:t>
            </w:r>
            <w:r w:rsidRPr="00FB2DF7">
              <w:rPr>
                <w:color w:val="000000"/>
                <w:sz w:val="24"/>
                <w:szCs w:val="24"/>
              </w:rPr>
              <w:br/>
              <w:t xml:space="preserve">  тыс. 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Объём межбюджетных трансфертов, предоставляемых  бюджетам сельских поселений из  бюджета муниципального района (исполнен): в 2024 году -  в сумме 50989,8 тыс.рублей, из них в форме дотаций – 8900,0 тыс.рублей, в форме прочих межбюджетных трансфертов – 42089,8  тыс.рублей.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Статья 13. Утвердить коэффициент выравнивания для расчёта дотаций 0,7.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Коэффициент выравнивания для расчёта дотаций 0,7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Статья 18. Установить на 2024 год лимиты бюджетных ассигнований для предоставления бюджетных кредитов местным бюджетам на сроки, выходящие за пределы финансового года, в сумме 6 800,0 тыс. 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Предоставлены кредиты бюджетам сельских поселений в сумме 6800,0 тыс. 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  <w:tr w:rsidR="00921E10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sectPr w:rsidR="00921E10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5" w:name="__bookmark_10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921E10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 w:rsidP="00747626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2004176,59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921E10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sectPr w:rsidR="00921E10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6" w:name="__bookmark_11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921E10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3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По разделам, подразделам 0111, 0309, 1003 Расходов не было в связи с отсутствием чрезвычайной ситуации в районе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br/>
              <w:t xml:space="preserve"> По разделу, подразделу 0605  В соответствии с внесёнными изменениями в ст.16.6, 75.1, 78.2 Федерального закона от 10.01.2022 № 7-ФЗ "Об охране окружающей среды" доходы, поступающие  в бюджет в соответствии с вышеуказанными статьями должны направляться на природоохранные мероприятия. Соответственно поступившие сверх плана доходы направлены на реализацию МП " Охрана окружающей среды на территории муниципального района Кинельский Самарской области на 2022 - 2026 годы" Экономия сложилась  в связи с короткими сроками освоения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 xml:space="preserve">Информация по обобщенным данным об операциях по </w:t>
            </w:r>
            <w:r w:rsidRPr="00FB2DF7">
              <w:rPr>
                <w:color w:val="000000"/>
                <w:sz w:val="24"/>
                <w:szCs w:val="24"/>
              </w:rPr>
              <w:lastRenderedPageBreak/>
              <w:t>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lastRenderedPageBreak/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lastRenderedPageBreak/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921E10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sectPr w:rsidR="00921E10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921E10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 w:rsidRPr="00FB2DF7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Показатель со знаком "минус" отсутствуют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Показатель со знаком "минус" отсутствуют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Просроченная кредиторская задолженность отсутствует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Просроченная дебиторская задолженность уменьшилась на 01.01.2025 года на 746598,71 рублей и  составила 3039346,71 рублей.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 xml:space="preserve">Графа 8 - "09 - иной </w:t>
            </w:r>
            <w:r w:rsidRPr="00FB2DF7">
              <w:rPr>
                <w:color w:val="000000"/>
                <w:sz w:val="24"/>
                <w:szCs w:val="24"/>
              </w:rPr>
              <w:lastRenderedPageBreak/>
              <w:t>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lastRenderedPageBreak/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921E10" w:rsidRPr="00FB2DF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921E10" w:rsidRDefault="00921E10">
      <w:pPr>
        <w:sectPr w:rsidR="00921E10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8" w:name="__bookmark_13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  <w:gridCol w:w="400"/>
        <w:gridCol w:w="507"/>
        <w:gridCol w:w="910"/>
      </w:tblGrid>
      <w:tr w:rsidR="00921E10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27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№15</w:t>
            </w:r>
          </w:p>
        </w:tc>
      </w:tr>
      <w:tr w:rsidR="00921E10">
        <w:trPr>
          <w:trHeight w:val="322"/>
        </w:trPr>
        <w:tc>
          <w:tcPr>
            <w:tcW w:w="1020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E10" w:rsidTr="00747626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 w:rsidTr="00747626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Номер (код) счета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921E10" w:rsidTr="00747626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747626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6</w:t>
            </w:r>
          </w:p>
        </w:tc>
      </w:tr>
      <w:bookmarkStart w:id="9" w:name="_Toc0503169"/>
      <w:bookmarkEnd w:id="9"/>
      <w:tr w:rsidR="00921E10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747626" w:rsidRDefault="0038434F" w:rsidP="00747626">
            <w:pPr>
              <w:jc w:val="center"/>
              <w:rPr>
                <w:vanish/>
                <w:sz w:val="24"/>
                <w:szCs w:val="24"/>
              </w:rPr>
            </w:pPr>
            <w:r w:rsidRPr="00747626">
              <w:rPr>
                <w:sz w:val="24"/>
                <w:szCs w:val="24"/>
              </w:rPr>
              <w:fldChar w:fldCharType="begin"/>
            </w:r>
            <w:r w:rsidR="006438EE" w:rsidRPr="00747626">
              <w:rPr>
                <w:sz w:val="24"/>
                <w:szCs w:val="24"/>
              </w:rPr>
              <w:instrText xml:space="preserve"> TC "0503169" \f C \l "1"</w:instrText>
            </w:r>
            <w:r w:rsidRPr="00747626">
              <w:rPr>
                <w:sz w:val="24"/>
                <w:szCs w:val="24"/>
              </w:rPr>
              <w:fldChar w:fldCharType="end"/>
            </w:r>
          </w:p>
          <w:p w:rsidR="00921E10" w:rsidRPr="00747626" w:rsidRDefault="006438EE" w:rsidP="00747626">
            <w:pPr>
              <w:jc w:val="center"/>
              <w:rPr>
                <w:color w:val="000000"/>
                <w:sz w:val="24"/>
                <w:szCs w:val="24"/>
              </w:rPr>
            </w:pPr>
            <w:r w:rsidRPr="00747626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9073" w:type="dxa"/>
            <w:gridSpan w:val="11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6352"/>
            </w:tblGrid>
            <w:tr w:rsidR="00921E10" w:rsidRPr="00747626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10" w:name="__bookmark_14"/>
                <w:bookmarkStart w:id="11" w:name="_TocПричины_увеличения_просроченной_деби"/>
                <w:bookmarkEnd w:id="10"/>
                <w:bookmarkEnd w:id="11"/>
                <w:p w:rsidR="00921E10" w:rsidRPr="00747626" w:rsidRDefault="0038434F">
                  <w:pPr>
                    <w:rPr>
                      <w:vanish/>
                      <w:sz w:val="22"/>
                      <w:szCs w:val="22"/>
                    </w:rPr>
                  </w:pPr>
                  <w:r w:rsidRPr="00747626">
                    <w:rPr>
                      <w:sz w:val="22"/>
                      <w:szCs w:val="22"/>
                    </w:rPr>
                    <w:fldChar w:fldCharType="begin"/>
                  </w:r>
                  <w:r w:rsidR="006438EE" w:rsidRPr="00747626">
                    <w:rPr>
                      <w:sz w:val="22"/>
                      <w:szCs w:val="22"/>
                    </w:rPr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 w:rsidRPr="00747626">
                    <w:rPr>
                      <w:sz w:val="22"/>
                      <w:szCs w:val="22"/>
                    </w:rPr>
                    <w:fldChar w:fldCharType="end"/>
                  </w:r>
                </w:p>
                <w:p w:rsidR="00921E10" w:rsidRPr="00747626" w:rsidRDefault="006438E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47626">
                    <w:rPr>
                      <w:color w:val="000000"/>
                      <w:sz w:val="22"/>
                      <w:szCs w:val="22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307"/>
                    <w:gridCol w:w="1417"/>
                  </w:tblGrid>
                  <w:tr w:rsidR="00921E10" w:rsidRPr="00747626" w:rsidTr="00747626">
                    <w:tc>
                      <w:tcPr>
                        <w:tcW w:w="90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921E10" w:rsidRPr="00747626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21E10" w:rsidRPr="00747626" w:rsidRDefault="006438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12" w:name="__bookmark_15"/>
                              <w:bookmarkEnd w:id="12"/>
                              <w:r w:rsidRPr="0074762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921E10" w:rsidRPr="00747626" w:rsidRDefault="00921E10">
                        <w:pPr>
                          <w:spacing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7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747626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747626">
                          <w:rPr>
                            <w:iCs/>
                            <w:color w:val="000000"/>
                            <w:sz w:val="22"/>
                            <w:szCs w:val="22"/>
                          </w:rPr>
                          <w:t>Просроченная дебиторская задолженность уменьшилась на 01.01.2025 года на 746598,71 рублей и  составила 3039346,71 рублей.</w:t>
                        </w:r>
                      </w:p>
                    </w:tc>
                  </w:tr>
                  <w:tr w:rsidR="00921E10" w:rsidRPr="00747626" w:rsidTr="00747626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 w:rsidP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307" w:type="dxa"/>
                        <w:vMerge w:val="restart"/>
                        <w:tcBorders>
                          <w:top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FB2DF7" w:rsidRDefault="006438EE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FB2DF7">
                          <w:rPr>
                            <w:color w:val="000000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</w:tbl>
                <w:p w:rsidR="00921E10" w:rsidRPr="00747626" w:rsidRDefault="00921E10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</w:tr>
            <w:bookmarkStart w:id="13" w:name="_TocПричины_увеличения_просроченной_кред"/>
            <w:bookmarkEnd w:id="13"/>
            <w:tr w:rsidR="00921E10" w:rsidRPr="00747626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E10" w:rsidRPr="00747626" w:rsidRDefault="0038434F">
                  <w:pPr>
                    <w:rPr>
                      <w:vanish/>
                      <w:sz w:val="22"/>
                      <w:szCs w:val="22"/>
                    </w:rPr>
                  </w:pPr>
                  <w:r w:rsidRPr="00747626">
                    <w:rPr>
                      <w:sz w:val="22"/>
                      <w:szCs w:val="22"/>
                    </w:rPr>
                    <w:fldChar w:fldCharType="begin"/>
                  </w:r>
                  <w:r w:rsidR="006438EE" w:rsidRPr="00747626">
                    <w:rPr>
                      <w:sz w:val="22"/>
                      <w:szCs w:val="22"/>
                    </w:rPr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 w:rsidRPr="00747626">
                    <w:rPr>
                      <w:sz w:val="22"/>
                      <w:szCs w:val="22"/>
                    </w:rPr>
                    <w:fldChar w:fldCharType="end"/>
                  </w:r>
                </w:p>
                <w:p w:rsidR="00921E10" w:rsidRPr="00747626" w:rsidRDefault="006438E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47626">
                    <w:rPr>
                      <w:color w:val="000000"/>
                      <w:sz w:val="22"/>
                      <w:szCs w:val="22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307"/>
                    <w:gridCol w:w="1417"/>
                  </w:tblGrid>
                  <w:tr w:rsidR="00921E10" w:rsidRPr="00747626" w:rsidTr="00747626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921E10" w:rsidRPr="00747626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21E10" w:rsidRPr="00747626" w:rsidRDefault="006438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14" w:name="__bookmark_16"/>
                              <w:bookmarkEnd w:id="14"/>
                              <w:r w:rsidRPr="00747626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921E10" w:rsidRPr="00747626" w:rsidRDefault="00921E10">
                        <w:pPr>
                          <w:spacing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FB2DF7" w:rsidRDefault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2DF7" w:rsidRDefault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2DF7" w:rsidRDefault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2DF7" w:rsidRPr="00747626" w:rsidRDefault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7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747626">
                          <w:rPr>
                            <w:color w:val="000000"/>
                            <w:sz w:val="22"/>
                            <w:szCs w:val="22"/>
                          </w:rPr>
                          <w:t>Просроченная кредиторская задолженность отсутствует</w:t>
                        </w:r>
                      </w:p>
                    </w:tc>
                  </w:tr>
                  <w:tr w:rsidR="00921E10" w:rsidRPr="00747626" w:rsidTr="00747626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 w:rsidP="00FB2DF7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307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747626" w:rsidRDefault="006438E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47626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1E10" w:rsidRPr="00FB2DF7" w:rsidRDefault="006438EE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FB2DF7">
                          <w:rPr>
                            <w:color w:val="000000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</w:tbl>
                <w:p w:rsidR="00921E10" w:rsidRPr="00747626" w:rsidRDefault="00921E10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21E10" w:rsidRPr="00747626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921E10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  <w:tc>
          <w:tcPr>
            <w:tcW w:w="91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</w:pPr>
          </w:p>
        </w:tc>
      </w:tr>
    </w:tbl>
    <w:p w:rsidR="00921E10" w:rsidRDefault="00921E10">
      <w:pPr>
        <w:sectPr w:rsidR="00921E10">
          <w:headerReference w:type="default" r:id="rId17"/>
          <w:footerReference w:type="default" r:id="rId18"/>
          <w:pgSz w:w="11905" w:h="16837"/>
          <w:pgMar w:top="1133" w:right="566" w:bottom="1133" w:left="1133" w:header="1133" w:footer="1133" w:gutter="0"/>
          <w:cols w:space="720"/>
        </w:sectPr>
      </w:pPr>
    </w:p>
    <w:p w:rsidR="00921E10" w:rsidRDefault="00921E10">
      <w:pPr>
        <w:rPr>
          <w:vanish/>
        </w:rPr>
      </w:pPr>
      <w:bookmarkStart w:id="15" w:name="__bookmark_17"/>
      <w:bookmarkEnd w:id="1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921E10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6438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921E10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1E10" w:rsidRDefault="00643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  <w:p w:rsidR="00FB2DF7" w:rsidRDefault="00FB2D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1E10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Default="00921E10">
            <w:pPr>
              <w:spacing w:line="1" w:lineRule="auto"/>
              <w:jc w:val="center"/>
            </w:pPr>
          </w:p>
        </w:tc>
      </w:tr>
      <w:tr w:rsidR="00921E10" w:rsidRPr="00FB2DF7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В ходе проведени</w:t>
            </w:r>
            <w:r w:rsidR="00FB2DF7">
              <w:rPr>
                <w:i/>
                <w:iCs/>
                <w:color w:val="000000"/>
                <w:sz w:val="24"/>
                <w:szCs w:val="24"/>
              </w:rPr>
              <w:t>я инвентаризации, недостач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t xml:space="preserve"> и излишков не обнаружено.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На отчетную дату неисполненная кредиторская задолженность по исполнительным листам отсутствует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2DF7">
              <w:rPr>
                <w:i/>
                <w:iCs/>
                <w:color w:val="000000"/>
                <w:sz w:val="24"/>
                <w:szCs w:val="24"/>
              </w:rPr>
              <w:t>0503166 "Сведения об исполнении мероприятий в рамках целевых программ";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br/>
              <w:t>0503167 "Сведения о целевых иностранных кредитах";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br/>
              <w:t>0503174 "Сведения о доходах от перечислений части прибыли государственных (муниципальных) унитарных предприятий, иных организаций с государственным участием в капитале";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br/>
              <w:t>0503175 "Сведения о принятых и неисполненных обязательствах получателя бюджетных средств;</w:t>
            </w:r>
            <w:r w:rsidRPr="00FB2DF7">
              <w:rPr>
                <w:i/>
                <w:iCs/>
                <w:color w:val="000000"/>
                <w:sz w:val="24"/>
                <w:szCs w:val="24"/>
              </w:rPr>
              <w:br/>
              <w:t>0503184 "Справка о сумме консолидированных поступлений, подлежащих зачислению на счет бюджета"</w:t>
            </w: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921E10" w:rsidRPr="00FB2DF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6438EE">
            <w:pPr>
              <w:jc w:val="center"/>
              <w:rPr>
                <w:color w:val="000000"/>
                <w:sz w:val="24"/>
                <w:szCs w:val="24"/>
              </w:rPr>
            </w:pPr>
            <w:r w:rsidRPr="00FB2D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1E10" w:rsidRPr="00FB2DF7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E10" w:rsidRPr="00FB2DF7" w:rsidRDefault="00921E10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04E52" w:rsidRPr="00FB2DF7" w:rsidRDefault="00504E52">
      <w:pPr>
        <w:rPr>
          <w:sz w:val="24"/>
          <w:szCs w:val="24"/>
        </w:rPr>
      </w:pPr>
    </w:p>
    <w:sectPr w:rsidR="00504E52" w:rsidRPr="00FB2DF7" w:rsidSect="00921E10">
      <w:headerReference w:type="default" r:id="rId19"/>
      <w:footerReference w:type="default" r:id="rId20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0F" w:rsidRDefault="00FF7D0F" w:rsidP="00921E10">
      <w:r>
        <w:separator/>
      </w:r>
    </w:p>
  </w:endnote>
  <w:endnote w:type="continuationSeparator" w:id="0">
    <w:p w:rsidR="00FF7D0F" w:rsidRDefault="00FF7D0F" w:rsidP="0092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0F" w:rsidRDefault="00FF7D0F" w:rsidP="00921E10">
      <w:r>
        <w:separator/>
      </w:r>
    </w:p>
  </w:footnote>
  <w:footnote w:type="continuationSeparator" w:id="0">
    <w:p w:rsidR="00FF7D0F" w:rsidRDefault="00FF7D0F" w:rsidP="0092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7626">
      <w:trPr>
        <w:trHeight w:val="56"/>
      </w:trPr>
      <w:tc>
        <w:tcPr>
          <w:tcW w:w="10421" w:type="dxa"/>
        </w:tcPr>
        <w:p w:rsidR="00747626" w:rsidRDefault="0074762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10"/>
    <w:rsid w:val="000F2D5E"/>
    <w:rsid w:val="00162D7F"/>
    <w:rsid w:val="0038434F"/>
    <w:rsid w:val="00504E52"/>
    <w:rsid w:val="006438EE"/>
    <w:rsid w:val="00712E07"/>
    <w:rsid w:val="007360A6"/>
    <w:rsid w:val="00747626"/>
    <w:rsid w:val="008E1803"/>
    <w:rsid w:val="00921E10"/>
    <w:rsid w:val="0093243B"/>
    <w:rsid w:val="00991FCF"/>
    <w:rsid w:val="00AB6A6F"/>
    <w:rsid w:val="00AC2C59"/>
    <w:rsid w:val="00B21815"/>
    <w:rsid w:val="00D45BF9"/>
    <w:rsid w:val="00DA353A"/>
    <w:rsid w:val="00DB62C1"/>
    <w:rsid w:val="00DF313F"/>
    <w:rsid w:val="00EB7504"/>
    <w:rsid w:val="00F05D3D"/>
    <w:rsid w:val="00FA34FC"/>
    <w:rsid w:val="00FB2DF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21E10"/>
    <w:rPr>
      <w:color w:val="0000FF"/>
      <w:u w:val="single"/>
    </w:rPr>
  </w:style>
  <w:style w:type="table" w:styleId="a4">
    <w:name w:val="Table Grid"/>
    <w:basedOn w:val="a1"/>
    <w:uiPriority w:val="59"/>
    <w:rsid w:val="00FA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21E10"/>
    <w:rPr>
      <w:color w:val="0000FF"/>
      <w:u w:val="single"/>
    </w:rPr>
  </w:style>
  <w:style w:type="table" w:styleId="a4">
    <w:name w:val="Table Grid"/>
    <w:basedOn w:val="a1"/>
    <w:uiPriority w:val="59"/>
    <w:rsid w:val="00FA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</dc:creator>
  <cp:lastModifiedBy>Хафиятуллова Алсу Харисовна</cp:lastModifiedBy>
  <cp:revision>2</cp:revision>
  <dcterms:created xsi:type="dcterms:W3CDTF">2025-04-10T10:42:00Z</dcterms:created>
  <dcterms:modified xsi:type="dcterms:W3CDTF">2025-04-10T10:42:00Z</dcterms:modified>
</cp:coreProperties>
</file>