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</w:tblGrid>
      <w:tr w:rsidR="003E7E80" w:rsidRPr="003E7E80" w:rsidTr="003E7E8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7E80" w:rsidRPr="003E7E80" w:rsidRDefault="003E7E80" w:rsidP="003E7E8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14141"/>
                <w:sz w:val="20"/>
                <w:szCs w:val="20"/>
                <w:lang w:eastAsia="ru-RU"/>
              </w:rPr>
            </w:pPr>
          </w:p>
        </w:tc>
      </w:tr>
    </w:tbl>
    <w:p w:rsidR="0014159A" w:rsidRPr="0014159A" w:rsidRDefault="0014159A" w:rsidP="0014159A">
      <w:pPr>
        <w:widowControl w:val="0"/>
        <w:shd w:val="clear" w:color="auto" w:fill="FFFFFF"/>
        <w:autoSpaceDE w:val="0"/>
        <w:spacing w:after="0"/>
        <w:ind w:left="-13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14159A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               АДМИНИСТРАЦИЯ</w:t>
      </w:r>
      <w:r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</w:t>
      </w:r>
    </w:p>
    <w:p w:rsidR="0014159A" w:rsidRPr="0014159A" w:rsidRDefault="0014159A" w:rsidP="0014159A">
      <w:pPr>
        <w:widowControl w:val="0"/>
        <w:shd w:val="clear" w:color="auto" w:fill="FFFFFF"/>
        <w:autoSpaceDE w:val="0"/>
        <w:spacing w:after="0"/>
        <w:ind w:left="-13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14159A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>СЕЛЬСКОГО ПОСЕЛЕНИЯ ЧУБОВКА</w:t>
      </w:r>
    </w:p>
    <w:p w:rsidR="0014159A" w:rsidRPr="0014159A" w:rsidRDefault="0014159A" w:rsidP="0014159A">
      <w:pPr>
        <w:widowControl w:val="0"/>
        <w:shd w:val="clear" w:color="auto" w:fill="FFFFFF"/>
        <w:autoSpaceDE w:val="0"/>
        <w:spacing w:after="0"/>
        <w:ind w:left="-13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14159A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МУНИЦИПАЛЬНОГО РАЙОНА КИНЕЛЬСКИЙ </w:t>
      </w:r>
    </w:p>
    <w:p w:rsidR="0014159A" w:rsidRPr="0014159A" w:rsidRDefault="0014159A" w:rsidP="0014159A">
      <w:pPr>
        <w:widowControl w:val="0"/>
        <w:shd w:val="clear" w:color="auto" w:fill="FFFFFF"/>
        <w:autoSpaceDE w:val="0"/>
        <w:spacing w:after="0"/>
        <w:ind w:left="-13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</w:pPr>
      <w:r w:rsidRPr="0014159A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 w:bidi="ru-RU"/>
        </w:rPr>
        <w:t xml:space="preserve">              САМАРСКОЙ ОБЛАСТИ</w:t>
      </w:r>
    </w:p>
    <w:p w:rsidR="0014159A" w:rsidRDefault="0014159A" w:rsidP="003E7E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7E80" w:rsidRPr="003E7E80" w:rsidRDefault="003E7E80" w:rsidP="003E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4159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E7E80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ПОСТАНОВЛЕНИЕ    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hAnsi="Times New Roman" w:cs="Times New Roman"/>
          <w:sz w:val="28"/>
          <w:szCs w:val="28"/>
        </w:rPr>
        <w:t xml:space="preserve">   </w:t>
      </w:r>
      <w:r w:rsidR="0014159A">
        <w:rPr>
          <w:rFonts w:ascii="Times New Roman" w:hAnsi="Times New Roman" w:cs="Times New Roman"/>
          <w:sz w:val="28"/>
          <w:szCs w:val="28"/>
        </w:rPr>
        <w:t xml:space="preserve">    </w:t>
      </w:r>
      <w:r w:rsidRPr="003E7E80">
        <w:rPr>
          <w:rFonts w:ascii="Times New Roman" w:hAnsi="Times New Roman" w:cs="Times New Roman"/>
          <w:sz w:val="28"/>
          <w:szCs w:val="28"/>
        </w:rPr>
        <w:t xml:space="preserve">   № </w:t>
      </w:r>
      <w:r w:rsidR="007F16B9">
        <w:rPr>
          <w:rFonts w:ascii="Times New Roman" w:hAnsi="Times New Roman" w:cs="Times New Roman"/>
          <w:sz w:val="28"/>
          <w:szCs w:val="28"/>
        </w:rPr>
        <w:t>35</w:t>
      </w:r>
      <w:r w:rsidR="004275A6">
        <w:rPr>
          <w:rFonts w:ascii="Times New Roman" w:hAnsi="Times New Roman" w:cs="Times New Roman"/>
          <w:sz w:val="28"/>
          <w:szCs w:val="28"/>
        </w:rPr>
        <w:t xml:space="preserve"> </w:t>
      </w:r>
      <w:r w:rsidRPr="004275A6">
        <w:rPr>
          <w:rFonts w:ascii="Times New Roman" w:hAnsi="Times New Roman" w:cs="Times New Roman"/>
          <w:sz w:val="28"/>
          <w:szCs w:val="28"/>
        </w:rPr>
        <w:t>от</w:t>
      </w:r>
      <w:r w:rsidR="007F16B9">
        <w:rPr>
          <w:rFonts w:ascii="Times New Roman" w:hAnsi="Times New Roman" w:cs="Times New Roman"/>
          <w:sz w:val="28"/>
          <w:szCs w:val="28"/>
        </w:rPr>
        <w:t xml:space="preserve">  13 февраля</w:t>
      </w:r>
      <w:r w:rsidR="0014159A">
        <w:rPr>
          <w:rFonts w:ascii="Times New Roman" w:hAnsi="Times New Roman" w:cs="Times New Roman"/>
          <w:sz w:val="28"/>
          <w:szCs w:val="28"/>
        </w:rPr>
        <w:t xml:space="preserve">  </w:t>
      </w:r>
      <w:r w:rsidRPr="004275A6">
        <w:rPr>
          <w:rFonts w:ascii="Times New Roman" w:hAnsi="Times New Roman" w:cs="Times New Roman"/>
          <w:sz w:val="28"/>
          <w:szCs w:val="28"/>
        </w:rPr>
        <w:t>2025 г</w:t>
      </w:r>
    </w:p>
    <w:p w:rsid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 утверждении Порядка ведения реестра </w:t>
      </w:r>
    </w:p>
    <w:p w:rsidR="003E7E80" w:rsidRPr="003E7E80" w:rsidRDefault="003E7E80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имущества сельского поселения </w:t>
      </w:r>
    </w:p>
    <w:p w:rsidR="003E7E80" w:rsidRPr="003E7E80" w:rsidRDefault="0014159A" w:rsidP="003E7E80">
      <w:pPr>
        <w:suppressAutoHyphens/>
        <w:spacing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Чубовка</w:t>
      </w:r>
      <w:r w:rsidR="003E7E80"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 w:rsid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Кинельский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3E7E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Самарской области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</w:p>
    <w:p w:rsidR="003E7E80" w:rsidRPr="003E7E80" w:rsidRDefault="003E7E80" w:rsidP="003E7E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14141"/>
          <w:sz w:val="20"/>
          <w:szCs w:val="20"/>
          <w:lang w:eastAsia="ru-RU"/>
        </w:rPr>
      </w:pP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сельского поселения 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E7E80" w:rsidRPr="003E7E80" w:rsidRDefault="003E7E80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ведения реестра муниципального имущества сельского поселения 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согласно приложению 1 к настоящему Постановлению.</w:t>
      </w:r>
    </w:p>
    <w:p w:rsidR="0014159A" w:rsidRDefault="00086689" w:rsidP="003E7E80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6689" w:rsidRDefault="0014159A" w:rsidP="0014159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Кинельский от 13.08.2018г.  № 88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реестра муниципального имущества сельского поселения</w:t>
      </w:r>
      <w:proofErr w:type="gramEnd"/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="0008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Кинельский Самарской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59A" w:rsidRDefault="0014159A" w:rsidP="0014159A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Чубовка муниципального района Кинельский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23.01.2023г. «О внесении изменений в Постановление № 88 от 13.08.2018г. </w:t>
      </w:r>
      <w:r w:rsidRP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реестра муниципального имущества сельского поселения</w:t>
      </w:r>
      <w:proofErr w:type="gramEnd"/>
      <w:r w:rsidRP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Чубовка муниципального района Кинельский Самарской области»</w:t>
      </w:r>
      <w:r w:rsid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D64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40D64">
        <w:t xml:space="preserve"> 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форму реестра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Чубовка 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 согласно приложению (далее – Реестр).</w:t>
      </w:r>
    </w:p>
    <w:p w:rsidR="00B40D64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ответственным за ведение Реестра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Чубовка 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D64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Реестр ведется на бумажных и электронных носителях.</w:t>
      </w:r>
    </w:p>
    <w:p w:rsidR="00B40D64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учет муниципального имущества в Реестре сопровождается присвоением реестрового номера муниципального имущества (далее - реестровый номер), который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 и распространяется на правоотношения, возникшие с даты вступления в силу приказа Минфина России от 10.10.2023года № 163н</w:t>
      </w:r>
      <w:proofErr w:type="gramStart"/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№О</w:t>
      </w:r>
      <w:proofErr w:type="gramEnd"/>
      <w:r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E80" w:rsidRPr="00B40D64" w:rsidRDefault="00B40D64" w:rsidP="00B40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7E80"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086689" w:rsidRPr="00B40D64">
        <w:rPr>
          <w:rFonts w:ascii="Times New Roman" w:hAnsi="Times New Roman" w:cs="Times New Roman"/>
          <w:sz w:val="28"/>
          <w:szCs w:val="28"/>
          <w:highlight w:val="white"/>
        </w:rPr>
        <w:t xml:space="preserve">Вестник  </w:t>
      </w:r>
      <w:r w:rsidRPr="00B40D64">
        <w:rPr>
          <w:rFonts w:ascii="Times New Roman" w:hAnsi="Times New Roman" w:cs="Times New Roman"/>
          <w:sz w:val="28"/>
          <w:szCs w:val="28"/>
        </w:rPr>
        <w:t xml:space="preserve">Сельского поселения Чубовка </w:t>
      </w:r>
      <w:r w:rsidR="003E7E80"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086689" w:rsidRPr="00B4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86689" w:rsidRPr="00B40D64">
        <w:rPr>
          <w:rFonts w:ascii="Times New Roman" w:hAnsi="Times New Roman" w:cs="Times New Roman"/>
          <w:sz w:val="28"/>
          <w:szCs w:val="28"/>
        </w:rPr>
        <w:t>сайте муниципального района Кинельский www.kinel.ru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Pr="00086689" w:rsidRDefault="00086689" w:rsidP="00086689">
      <w:pPr>
        <w:pStyle w:val="3"/>
        <w:rPr>
          <w:szCs w:val="28"/>
          <w:lang w:val="ru-RU"/>
        </w:rPr>
      </w:pPr>
      <w:r w:rsidRPr="00086689">
        <w:rPr>
          <w:szCs w:val="28"/>
          <w:lang w:val="ru-RU"/>
        </w:rPr>
        <w:t xml:space="preserve">Глава сельского поселения </w:t>
      </w:r>
      <w:r w:rsidR="0014159A">
        <w:rPr>
          <w:szCs w:val="28"/>
          <w:lang w:val="ru-RU"/>
        </w:rPr>
        <w:t>Чубовка</w:t>
      </w:r>
      <w:r w:rsidRPr="00086689">
        <w:rPr>
          <w:szCs w:val="28"/>
          <w:lang w:val="ru-RU"/>
        </w:rPr>
        <w:t xml:space="preserve">                          </w:t>
      </w:r>
      <w:r w:rsidR="00B40D64">
        <w:rPr>
          <w:szCs w:val="28"/>
          <w:lang w:val="ru-RU"/>
        </w:rPr>
        <w:t xml:space="preserve">          </w:t>
      </w:r>
      <w:r w:rsidRPr="00086689">
        <w:rPr>
          <w:szCs w:val="28"/>
          <w:lang w:val="ru-RU"/>
        </w:rPr>
        <w:t xml:space="preserve">      </w:t>
      </w:r>
      <w:proofErr w:type="spellStart"/>
      <w:r w:rsidR="00B40D64">
        <w:rPr>
          <w:szCs w:val="28"/>
          <w:lang w:val="ru-RU"/>
        </w:rPr>
        <w:t>А.А.Авдеев</w:t>
      </w:r>
      <w:proofErr w:type="spellEnd"/>
    </w:p>
    <w:p w:rsidR="00086689" w:rsidRPr="00086689" w:rsidRDefault="00086689" w:rsidP="0008668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08668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25AEE" w:rsidRPr="00086689">
        <w:rPr>
          <w:rFonts w:ascii="Times New Roman" w:hAnsi="Times New Roman" w:cs="Times New Roman"/>
          <w:sz w:val="28"/>
          <w:szCs w:val="28"/>
        </w:rPr>
        <w:fldChar w:fldCharType="begin"/>
      </w:r>
      <w:r w:rsidRPr="00086689">
        <w:rPr>
          <w:rFonts w:ascii="Times New Roman" w:hAnsi="Times New Roman" w:cs="Times New Roman"/>
          <w:sz w:val="28"/>
          <w:szCs w:val="28"/>
        </w:rPr>
        <w:instrText xml:space="preserve"> MERGEFIELD Название_района </w:instrText>
      </w:r>
      <w:r w:rsidR="00925AEE" w:rsidRPr="00086689">
        <w:rPr>
          <w:rFonts w:ascii="Times New Roman" w:hAnsi="Times New Roman" w:cs="Times New Roman"/>
          <w:sz w:val="28"/>
          <w:szCs w:val="28"/>
        </w:rPr>
        <w:fldChar w:fldCharType="separate"/>
      </w:r>
      <w:r w:rsidRPr="00086689">
        <w:rPr>
          <w:rFonts w:ascii="Times New Roman" w:hAnsi="Times New Roman" w:cs="Times New Roman"/>
          <w:noProof/>
          <w:sz w:val="28"/>
          <w:szCs w:val="28"/>
        </w:rPr>
        <w:t>Кинельский</w:t>
      </w:r>
      <w:r w:rsidR="00925AEE" w:rsidRPr="00086689">
        <w:rPr>
          <w:rFonts w:ascii="Times New Roman" w:hAnsi="Times New Roman" w:cs="Times New Roman"/>
          <w:sz w:val="28"/>
          <w:szCs w:val="28"/>
        </w:rPr>
        <w:fldChar w:fldCharType="end"/>
      </w:r>
      <w:r w:rsidRPr="00086689">
        <w:rPr>
          <w:rFonts w:ascii="Times New Roman" w:hAnsi="Times New Roman" w:cs="Times New Roman"/>
          <w:sz w:val="28"/>
          <w:szCs w:val="28"/>
        </w:rPr>
        <w:tab/>
      </w:r>
      <w:r w:rsidRPr="00086689">
        <w:rPr>
          <w:rFonts w:ascii="Times New Roman" w:hAnsi="Times New Roman" w:cs="Times New Roman"/>
          <w:sz w:val="28"/>
          <w:szCs w:val="28"/>
        </w:rPr>
        <w:tab/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6689" w:rsidRDefault="003E7E80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D64" w:rsidRDefault="00B40D64" w:rsidP="000866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86689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14159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Чубовка</w:t>
      </w:r>
    </w:p>
    <w:p w:rsidR="00086689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3E7E80" w:rsidRPr="003E7E80" w:rsidRDefault="004275A6" w:rsidP="0008668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E7E80" w:rsidRPr="003E7E8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4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13.02.2025г. </w:t>
      </w:r>
      <w:r w:rsidR="00B40D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F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</w:t>
      </w:r>
      <w:bookmarkStart w:id="0" w:name="_GoBack"/>
      <w:bookmarkEnd w:id="0"/>
      <w:r w:rsidR="00B4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6689" w:rsidRPr="0008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ведения реестра муниципального имущества сельского поселения </w:t>
      </w:r>
      <w:r w:rsidR="00141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086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Кинельский </w:t>
      </w: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3E7E80" w:rsidRPr="003E7E80" w:rsidRDefault="003E7E80" w:rsidP="000866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Порядок)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ведения Администрацией сельского поселения </w:t>
      </w:r>
      <w:r w:rsidR="0014159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Чубовка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C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(далее – Администрация, сельское поселение) реестра муниципального имущества, находящегося в собственности сельского поселения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либо иное имущество, отнесенное законом к недвижимым вещам);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представителей сельского поселения;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представителей сельского поселения.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реестра осуществляется Администрацией сельского поселения (далее - уполномоченный орган).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согласно приложению 3 к Порядку.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 ведется на бумажном и (или) электронном носителях.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органа местного самоуправления.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12. Реестр состоит из 3 разделов.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имущества и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3E7E80" w:rsidRPr="00B40D64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B4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 1 вносятся сведения о недвижимом имуществе.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земельного участка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 (с указанием кода ОКТМО) (далее - сведения о правообладателе);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произведенном улучшении земельного участка;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земельном участке, на котором расположен объект учета (кадастровый номер, форма собственности, площадь);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объекте единого недвижимого комплекса, в том числе: сведения о зданиях, сооружениях, иных вещах, являющихся составляющими 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(местоположение) объекта учета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учета (с датой присвоения);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инвентарный номер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объекта учета;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B40D64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B40D64" w:rsidRDefault="00B40D6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B40D64" w:rsidRDefault="00B40D6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движимого имущества (иного имущества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указанием- марки, модели, года выпуска, инвентарного номера;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объекте учета, в том числе: марка, модель, год выпуска, инвентарный номер;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доли в праве общей долевой собственности на объекты недвижимого и (или) движимого имущества;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стоимости доли;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лице, в пользу которого установлены ограничения (обременения);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B40D64" w:rsidRDefault="00B40D6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E80" w:rsidRPr="00B40D64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правообладателях;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принадлежащих на соответствующем вещном праве;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реестровый номер объектов учета, вещные права на которые ограничены (обременены) в пользу правообладателя;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(при необходимости).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3C0FE4" w:rsidRPr="003E7E80" w:rsidRDefault="003C0FE4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80" w:rsidRPr="003E7E80" w:rsidRDefault="003C0FE4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3E7E80"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учета муниципального имущества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E80" w:rsidRPr="003E7E80" w:rsidRDefault="003E7E80" w:rsidP="003C0F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</w:t>
      </w: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Собрания представителей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E7E80" w:rsidRPr="003E7E80" w:rsidRDefault="003E7E80" w:rsidP="003E7E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3E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617D18" w:rsidRDefault="00617D18" w:rsidP="003E7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3C0FE4" w:rsidRDefault="003C0FE4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</w:t>
      </w:r>
      <w:r w:rsidR="003C0FE4" w:rsidRPr="003C0FE4">
        <w:rPr>
          <w:rFonts w:ascii="Times New Roman" w:hAnsi="Times New Roman" w:cs="Times New Roman"/>
          <w:iCs/>
          <w:sz w:val="24"/>
          <w:szCs w:val="24"/>
        </w:rPr>
        <w:t xml:space="preserve"> к Порядку</w:t>
      </w:r>
    </w:p>
    <w:p w:rsidR="00086689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ВЫПИСКА N ____ ИЗ РЕЕСТРА МУНИЦИПАЛЬНОГО ИМУЩЕСТВА ОБ ОБЪЕКТЕ УЧЕТА МУНИЦИПАЛЬНОГО ИМУЩЕСТВА</w:t>
      </w:r>
    </w:p>
    <w:p w:rsidR="00086689" w:rsidRPr="003C0FE4" w:rsidRDefault="00086689" w:rsidP="003C0F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на "__" ________ 20__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86689" w:rsidRPr="003C0FE4" w:rsidTr="00B40D64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086689" w:rsidRPr="003C0FE4" w:rsidTr="00B40D6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3C0F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1. Сведения об объекте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086689" w:rsidRPr="003C0FE4" w:rsidTr="00B40D64"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Вид и наименование объекта учета</w:t>
      </w: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086689" w:rsidRPr="003C0FE4" w:rsidTr="00B40D64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125"/>
      </w:tblGrid>
      <w:tr w:rsidR="00086689" w:rsidRPr="003C0FE4" w:rsidTr="00B40D64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086689" w:rsidRPr="003C0FE4" w:rsidTr="00B40D64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689" w:rsidRPr="003C0FE4" w:rsidTr="00B40D64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b/>
          <w:bCs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125"/>
        <w:gridCol w:w="1750"/>
      </w:tblGrid>
      <w:tr w:rsidR="00086689" w:rsidRPr="003C0FE4" w:rsidTr="00B40D64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086689" w:rsidRPr="003C0FE4" w:rsidTr="00B40D64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689" w:rsidRPr="003C0FE4" w:rsidTr="00B40D64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4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  <w:gridCol w:w="153"/>
      </w:tblGrid>
      <w:tr w:rsidR="00086689" w:rsidRPr="003C0FE4" w:rsidTr="003C0FE4">
        <w:trPr>
          <w:jc w:val="center"/>
        </w:trPr>
        <w:tc>
          <w:tcPr>
            <w:tcW w:w="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ОТМЕТКА О ПОДТВЕРЖДЕНИИ СВЕДЕНИЙ, СОДЕРЖАЩИХСЯ В НАСТОЯЩЕЙ ВЫПИСКЕ</w:t>
      </w:r>
    </w:p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112"/>
        <w:gridCol w:w="242"/>
        <w:gridCol w:w="2079"/>
        <w:gridCol w:w="242"/>
        <w:gridCol w:w="2098"/>
      </w:tblGrid>
      <w:tr w:rsidR="00086689" w:rsidRPr="003C0FE4" w:rsidTr="00B40D64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6689" w:rsidRPr="003C0FE4" w:rsidTr="00B40D64">
        <w:trPr>
          <w:jc w:val="center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6689" w:rsidRPr="003C0FE4" w:rsidRDefault="00086689" w:rsidP="00B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86689" w:rsidRPr="003C0FE4" w:rsidRDefault="00086689" w:rsidP="0008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FE4"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086689" w:rsidRDefault="00086689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64" w:rsidRDefault="00B40D64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40D64" w:rsidSect="003C0FE4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40D64" w:rsidRPr="00BA3ADB" w:rsidRDefault="00B40D64" w:rsidP="00B40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B40D64" w:rsidRPr="00BA3ADB" w:rsidRDefault="00B40D64" w:rsidP="00B40D64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B40D64" w:rsidRPr="00BA3ADB" w:rsidRDefault="00B40D64" w:rsidP="00B40D64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Чубовка муниципального района Кинельский Самарской области </w:t>
      </w:r>
    </w:p>
    <w:p w:rsidR="00B40D64" w:rsidRPr="00BA3ADB" w:rsidRDefault="00B40D64" w:rsidP="00B40D64">
      <w:pPr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2025г</w:t>
      </w: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.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40D64" w:rsidRPr="00BA3ADB" w:rsidRDefault="00B40D64" w:rsidP="00B40D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:rsidR="00B40D64" w:rsidRPr="00BA3ADB" w:rsidRDefault="00B40D64" w:rsidP="00B40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Реестр</w:t>
      </w:r>
    </w:p>
    <w:p w:rsidR="00B40D64" w:rsidRPr="00BA3ADB" w:rsidRDefault="00B40D64" w:rsidP="00B40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имущества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сельского поселения Чубовка муниципального района Кинельский Самарской области </w:t>
      </w:r>
    </w:p>
    <w:p w:rsidR="00B40D64" w:rsidRPr="00BA3ADB" w:rsidRDefault="00B40D64" w:rsidP="00B40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00"/>
      <w:bookmarkEnd w:id="1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1. Сведения о муниципальном недвижимом имуществе</w:t>
      </w: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1.1. Сведения о земельных участках</w:t>
      </w:r>
    </w:p>
    <w:tbl>
      <w:tblPr>
        <w:tblW w:w="15686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0"/>
        <w:gridCol w:w="1648"/>
        <w:gridCol w:w="1358"/>
        <w:gridCol w:w="1488"/>
        <w:gridCol w:w="1347"/>
        <w:gridCol w:w="1988"/>
        <w:gridCol w:w="1272"/>
        <w:gridCol w:w="511"/>
        <w:gridCol w:w="902"/>
        <w:gridCol w:w="1295"/>
        <w:gridCol w:w="1762"/>
        <w:gridCol w:w="775"/>
      </w:tblGrid>
      <w:tr w:rsidR="00B40D64" w:rsidRPr="00BA3ADB" w:rsidTr="00B40D64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земельного участка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земельный участок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кода Общероссийского классификатора территорий муниципальных образований (далее - ОКТМО;</w:t>
      </w:r>
    </w:p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физических лиц) (с указанием кода ОКТМО) (далее - сведения о правообладателе);</w:t>
      </w:r>
    </w:p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наименования вида ограничений (</w:t>
      </w: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обременении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), основания и даты их возникновения и прекращения;</w:t>
      </w:r>
    </w:p>
    <w:p w:rsidR="00B40D64" w:rsidRPr="00BA3ADB" w:rsidRDefault="00B40D64" w:rsidP="00B40D64">
      <w:pPr>
        <w:numPr>
          <w:ilvl w:val="0"/>
          <w:numId w:val="3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(обременения).</w:t>
      </w: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5544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5"/>
        <w:gridCol w:w="938"/>
        <w:gridCol w:w="1628"/>
        <w:gridCol w:w="1346"/>
        <w:gridCol w:w="1660"/>
        <w:gridCol w:w="1470"/>
        <w:gridCol w:w="1687"/>
        <w:gridCol w:w="1238"/>
        <w:gridCol w:w="1964"/>
        <w:gridCol w:w="1296"/>
        <w:gridCol w:w="992"/>
      </w:tblGrid>
      <w:tr w:rsidR="00B40D64" w:rsidRPr="00BA3ADB" w:rsidTr="00B40D64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sub_1001"/>
            <w:bookmarkStart w:id="3" w:name="sub_1002"/>
            <w:bookmarkEnd w:id="2"/>
            <w:bookmarkEnd w:id="3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</w:tr>
      <w:tr w:rsidR="00B40D64" w:rsidRPr="00BA3ADB" w:rsidTr="00B40D64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B40D64" w:rsidRPr="00BA3ADB" w:rsidRDefault="00B40D64" w:rsidP="00B40D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69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1"/>
        <w:gridCol w:w="2860"/>
        <w:gridCol w:w="2844"/>
        <w:gridCol w:w="2811"/>
        <w:gridCol w:w="2435"/>
        <w:gridCol w:w="2059"/>
      </w:tblGrid>
      <w:tr w:rsidR="00B40D64" w:rsidRPr="00BA3ADB" w:rsidTr="00B40D64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B40D64" w:rsidRPr="00BA3ADB" w:rsidRDefault="00B40D64" w:rsidP="00B40D64">
      <w:pPr>
        <w:numPr>
          <w:ilvl w:val="0"/>
          <w:numId w:val="4"/>
        </w:numPr>
        <w:spacing w:after="0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40D64" w:rsidRPr="00BA3ADB" w:rsidRDefault="00B40D64" w:rsidP="00B40D64">
      <w:pPr>
        <w:numPr>
          <w:ilvl w:val="0"/>
          <w:numId w:val="4"/>
        </w:numPr>
        <w:spacing w:after="0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наименования вида ограничений (</w:t>
      </w: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обременении</w:t>
      </w:r>
      <w:proofErr w:type="gramEnd"/>
      <w:r w:rsidRPr="00BA3ADB">
        <w:rPr>
          <w:rFonts w:ascii="Times New Roman" w:eastAsia="Times New Roman" w:hAnsi="Times New Roman" w:cs="Times New Roman"/>
          <w:sz w:val="20"/>
          <w:szCs w:val="20"/>
          <w:lang w:eastAsia="ru-RU"/>
        </w:rPr>
        <w:t>), основания и даты их возникновения и прекращения;</w:t>
      </w: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Подраздел 1.3. Сведения о помещениях, </w:t>
      </w:r>
      <w:proofErr w:type="spellStart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машино</w:t>
      </w:r>
      <w:proofErr w:type="spellEnd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-местах и иных объектах, отнесенных законом к недвижимости</w:t>
      </w:r>
    </w:p>
    <w:tbl>
      <w:tblPr>
        <w:tblW w:w="15349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5"/>
        <w:gridCol w:w="938"/>
        <w:gridCol w:w="1628"/>
        <w:gridCol w:w="1346"/>
        <w:gridCol w:w="810"/>
        <w:gridCol w:w="1470"/>
        <w:gridCol w:w="1705"/>
        <w:gridCol w:w="1219"/>
        <w:gridCol w:w="1418"/>
        <w:gridCol w:w="1872"/>
        <w:gridCol w:w="1618"/>
      </w:tblGrid>
      <w:tr w:rsidR="00B40D64" w:rsidRPr="00BA3ADB" w:rsidTr="00B40D64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учета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 объекта учета (с указанием кода ОКТМО)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</w:tr>
      <w:tr w:rsidR="00B40D64" w:rsidRPr="00BA3ADB" w:rsidTr="00B40D64"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B40D64" w:rsidRPr="00BA3ADB" w:rsidRDefault="00B40D64" w:rsidP="00B40D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8"/>
        <w:gridCol w:w="2093"/>
        <w:gridCol w:w="2842"/>
        <w:gridCol w:w="2809"/>
        <w:gridCol w:w="2058"/>
      </w:tblGrid>
      <w:tr w:rsidR="00B40D64" w:rsidRPr="00BA3ADB" w:rsidTr="00B40D64"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объекта учета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в отношении объекта учета ограничениях (обременениях)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4" w:name="sub_200"/>
      <w:bookmarkEnd w:id="4"/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2. Сведения о муниципальном движимом и ином имуществе</w:t>
      </w:r>
    </w:p>
    <w:p w:rsidR="00B40D64" w:rsidRPr="00BA3ADB" w:rsidRDefault="00B40D64" w:rsidP="00B40D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2001"/>
      <w:bookmarkStart w:id="6" w:name="sub_2002"/>
      <w:bookmarkEnd w:id="5"/>
      <w:bookmarkEnd w:id="6"/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2.1. Сведения об акциях</w:t>
      </w:r>
    </w:p>
    <w:tbl>
      <w:tblPr>
        <w:tblW w:w="15161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4"/>
        <w:gridCol w:w="2011"/>
        <w:gridCol w:w="2358"/>
        <w:gridCol w:w="1916"/>
        <w:gridCol w:w="1964"/>
        <w:gridCol w:w="1860"/>
        <w:gridCol w:w="1773"/>
        <w:gridCol w:w="1885"/>
      </w:tblGrid>
      <w:tr w:rsidR="00B40D64" w:rsidRPr="00BA3ADB" w:rsidTr="00B40D64"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B40D64" w:rsidRPr="00BA3ADB" w:rsidRDefault="00B40D64" w:rsidP="00B40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210"/>
      <w:bookmarkStart w:id="8" w:name="sub_2101"/>
      <w:bookmarkStart w:id="9" w:name="sub_2102"/>
      <w:bookmarkEnd w:id="7"/>
      <w:bookmarkEnd w:id="8"/>
      <w:bookmarkEnd w:id="9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2.2. Сведения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15544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5"/>
        <w:gridCol w:w="2065"/>
        <w:gridCol w:w="2065"/>
        <w:gridCol w:w="2045"/>
        <w:gridCol w:w="2096"/>
        <w:gridCol w:w="1985"/>
        <w:gridCol w:w="1951"/>
        <w:gridCol w:w="1922"/>
      </w:tblGrid>
      <w:tr w:rsidR="00B40D64" w:rsidRPr="00BA3ADB" w:rsidTr="00B40D64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2.3. Сведения о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5743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0"/>
        <w:gridCol w:w="1695"/>
        <w:gridCol w:w="1550"/>
        <w:gridCol w:w="1995"/>
        <w:gridCol w:w="1339"/>
        <w:gridCol w:w="2045"/>
        <w:gridCol w:w="1937"/>
        <w:gridCol w:w="1839"/>
        <w:gridCol w:w="1963"/>
      </w:tblGrid>
      <w:tr w:rsidR="00B40D64" w:rsidRPr="00BA3ADB" w:rsidTr="00B40D64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300"/>
      <w:bookmarkEnd w:id="10"/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Подраздел 2.4. Сведения </w:t>
      </w: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15261" w:type="dxa"/>
        <w:tblInd w:w="1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0"/>
        <w:gridCol w:w="1633"/>
        <w:gridCol w:w="1173"/>
        <w:gridCol w:w="1717"/>
        <w:gridCol w:w="2048"/>
        <w:gridCol w:w="1987"/>
        <w:gridCol w:w="1816"/>
        <w:gridCol w:w="1882"/>
        <w:gridCol w:w="814"/>
        <w:gridCol w:w="851"/>
      </w:tblGrid>
      <w:tr w:rsidR="00B40D64" w:rsidRPr="00BA3ADB" w:rsidTr="00B40D64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стоимости доли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Сведения об участниках общей 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долевой</w:t>
            </w:r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собственности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права, на основании которого правообладателю принадлежит объект учета 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B40D64" w:rsidRPr="00BA3ADB" w:rsidRDefault="00B40D64" w:rsidP="00B40D64">
      <w:pPr>
        <w:numPr>
          <w:ilvl w:val="0"/>
          <w:numId w:val="5"/>
        </w:numPr>
        <w:spacing w:after="108" w:line="240" w:lineRule="auto"/>
        <w:ind w:left="180" w:right="1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A3AD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ОКТМО).</w:t>
      </w:r>
      <w:proofErr w:type="gramEnd"/>
    </w:p>
    <w:p w:rsidR="00215C8D" w:rsidRDefault="00215C8D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15C8D" w:rsidRDefault="00215C8D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15C8D" w:rsidRDefault="00215C8D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0D64" w:rsidRPr="00BA3ADB" w:rsidRDefault="00B40D64" w:rsidP="00B40D64">
      <w:pPr>
        <w:spacing w:after="10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A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Подраздел 3. Сведения о лицах, обладающих правами на имущество и сведениями о нем</w:t>
      </w:r>
    </w:p>
    <w:tbl>
      <w:tblPr>
        <w:tblW w:w="15525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9"/>
        <w:gridCol w:w="2209"/>
        <w:gridCol w:w="4498"/>
        <w:gridCol w:w="4643"/>
        <w:gridCol w:w="2886"/>
      </w:tblGrid>
      <w:tr w:rsidR="00B40D64" w:rsidRPr="00BA3ADB" w:rsidTr="00B40D6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sub_3101"/>
            <w:bookmarkStart w:id="12" w:name="sub_3102"/>
            <w:bookmarkEnd w:id="11"/>
            <w:bookmarkEnd w:id="12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Сведения о правообладателях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B40D64" w:rsidRPr="00BA3ADB" w:rsidTr="00B40D64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64" w:rsidRPr="00BA3ADB" w:rsidRDefault="00B40D64" w:rsidP="00B40D64">
            <w:pPr>
              <w:spacing w:after="19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B40D64" w:rsidRDefault="00B40D64" w:rsidP="00B40D64"/>
    <w:p w:rsidR="00B40D64" w:rsidRDefault="00B40D64" w:rsidP="00B40D64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40D64" w:rsidRDefault="00B40D64" w:rsidP="00B40D64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40D64" w:rsidRDefault="00B40D64" w:rsidP="00B40D64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40D64" w:rsidRDefault="00B40D64" w:rsidP="00B40D64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40D64" w:rsidRPr="0041775F" w:rsidRDefault="00B40D64" w:rsidP="00B40D64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</w:p>
    <w:p w:rsidR="00B40D64" w:rsidRPr="003C0FE4" w:rsidRDefault="00B40D64" w:rsidP="003E7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0D64" w:rsidRPr="003C0FE4" w:rsidSect="00B40D64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E1"/>
    <w:multiLevelType w:val="multilevel"/>
    <w:tmpl w:val="7C84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D70E3"/>
    <w:multiLevelType w:val="multilevel"/>
    <w:tmpl w:val="2D5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73341"/>
    <w:multiLevelType w:val="multilevel"/>
    <w:tmpl w:val="06E84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04371"/>
    <w:multiLevelType w:val="multilevel"/>
    <w:tmpl w:val="36E0B5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60A0A"/>
    <w:multiLevelType w:val="hybridMultilevel"/>
    <w:tmpl w:val="5866A9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E80"/>
    <w:rsid w:val="00086689"/>
    <w:rsid w:val="0014159A"/>
    <w:rsid w:val="00215C8D"/>
    <w:rsid w:val="003C0FE4"/>
    <w:rsid w:val="003E7E80"/>
    <w:rsid w:val="004275A6"/>
    <w:rsid w:val="00617D18"/>
    <w:rsid w:val="007F16B9"/>
    <w:rsid w:val="00925AEE"/>
    <w:rsid w:val="00B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8"/>
  </w:style>
  <w:style w:type="paragraph" w:styleId="1">
    <w:name w:val="heading 1"/>
    <w:basedOn w:val="a"/>
    <w:next w:val="a"/>
    <w:link w:val="10"/>
    <w:uiPriority w:val="99"/>
    <w:qFormat/>
    <w:rsid w:val="003E7E8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E80"/>
    <w:rPr>
      <w:b/>
      <w:bCs/>
    </w:rPr>
  </w:style>
  <w:style w:type="character" w:styleId="a5">
    <w:name w:val="Hyperlink"/>
    <w:basedOn w:val="a0"/>
    <w:uiPriority w:val="99"/>
    <w:semiHidden/>
    <w:unhideWhenUsed/>
    <w:rsid w:val="003E7E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7E80"/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Body Text 3"/>
    <w:basedOn w:val="a"/>
    <w:link w:val="30"/>
    <w:rsid w:val="000866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08668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B40D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6023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</cp:lastModifiedBy>
  <cp:revision>6</cp:revision>
  <cp:lastPrinted>2025-02-14T12:58:00Z</cp:lastPrinted>
  <dcterms:created xsi:type="dcterms:W3CDTF">2025-01-27T05:55:00Z</dcterms:created>
  <dcterms:modified xsi:type="dcterms:W3CDTF">2025-02-14T12:58:00Z</dcterms:modified>
</cp:coreProperties>
</file>