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F387E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>
        <w:t xml:space="preserve">                                                                                   </w:t>
      </w:r>
    </w:p>
    <w:p w14:paraId="01606C47">
      <w:pPr>
        <w:pStyle w:val="2"/>
        <w:tabs>
          <w:tab w:val="left" w:pos="4962"/>
        </w:tabs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F6AC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CDE9B69">
            <w:pPr>
              <w:pStyle w:val="2"/>
              <w:tabs>
                <w:tab w:val="left" w:pos="4962"/>
              </w:tabs>
              <w:spacing w:line="240" w:lineRule="auto"/>
              <w:outlineLvl w:val="1"/>
            </w:pPr>
          </w:p>
        </w:tc>
        <w:tc>
          <w:tcPr>
            <w:tcW w:w="4786" w:type="dxa"/>
          </w:tcPr>
          <w:p w14:paraId="4AFC83AE">
            <w:pPr>
              <w:pStyle w:val="2"/>
              <w:tabs>
                <w:tab w:val="left" w:pos="4962"/>
              </w:tabs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14:paraId="7723B020">
            <w:pPr>
              <w:pStyle w:val="9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14:paraId="7A308305">
            <w:pPr>
              <w:pStyle w:val="9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14:paraId="59645992">
            <w:pPr>
              <w:pStyle w:val="9"/>
              <w:shd w:val="clear" w:color="auto" w:fill="FFFFFF"/>
              <w:spacing w:line="360" w:lineRule="auto"/>
              <w:jc w:val="center"/>
              <w:rPr>
                <w:rFonts w:hint="default"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» ____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2025 г.  №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1216</w:t>
            </w:r>
          </w:p>
          <w:p w14:paraId="793B4078">
            <w:pPr>
              <w:pStyle w:val="2"/>
              <w:tabs>
                <w:tab w:val="left" w:pos="4962"/>
              </w:tabs>
              <w:spacing w:line="240" w:lineRule="auto"/>
              <w:outlineLvl w:val="1"/>
            </w:pPr>
          </w:p>
        </w:tc>
      </w:tr>
    </w:tbl>
    <w:p w14:paraId="0F856440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1CE1562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которые вносятся в муниципальную программу «Развитие физической культуры и спорта муниципального района Кинельский» на 2024-2030 годы, утвержденную постановлением администрации муниципального района Кинельский от 26.12.2023 г. № 2309 </w:t>
      </w:r>
    </w:p>
    <w:p w14:paraId="7CA49CBB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14:paraId="5257BA0A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14:paraId="0B8314CF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24 599,2 тысяч рублей, в том числе из средств областного бюджета 1 100,0 тыс.руб.,</w:t>
      </w:r>
    </w:p>
    <w:p w14:paraId="1533EF49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 – 4 373,9 тыс.руб.,</w:t>
      </w:r>
    </w:p>
    <w:p w14:paraId="3D5D231C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руб.</w:t>
      </w:r>
    </w:p>
    <w:p w14:paraId="1622ED13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Программе:</w:t>
      </w:r>
    </w:p>
    <w:p w14:paraId="2B26C731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программы» изложить в следующей редакции:</w:t>
      </w:r>
    </w:p>
    <w:p w14:paraId="182CCEE6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359C19D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C3DB1E7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8AA267E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7E7FC0B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812DD84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DD3C5A8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3126F45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5 «Обоснование ресурсного обеспечения Программы» изложить в следующей редакции:</w:t>
      </w:r>
    </w:p>
    <w:p w14:paraId="47E449C6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14:paraId="1EF5D54D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24 599,2 тысяч рублей, в том числе из средств областного бюджета 1 100,0 тысяч рублей, в том числе по годам:</w:t>
      </w:r>
    </w:p>
    <w:p w14:paraId="1F3EE416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 – 4 373,9 тыс.руб.,</w:t>
      </w:r>
    </w:p>
    <w:p w14:paraId="1330A23A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14:paraId="06E58A46">
      <w:pPr>
        <w:pStyle w:val="9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</w:t>
      </w:r>
    </w:p>
    <w:p w14:paraId="7F217521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DA11287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CAC3AC6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D49D9C1">
      <w:pPr>
        <w:pStyle w:val="9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6CA186D">
      <w:pPr>
        <w:rPr>
          <w:color w:val="FF0000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2072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478FE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4A8B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19D3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9F324C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CE18AA"/>
    <w:rsid w:val="00D079C8"/>
    <w:rsid w:val="00D1593E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37312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  <w:rsid w:val="3972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character" w:customStyle="1" w:styleId="11">
    <w:name w:val="Заголовок 2 Знак"/>
    <w:basedOn w:val="3"/>
    <w:link w:val="2"/>
    <w:uiPriority w:val="9"/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customStyle="1" w:styleId="12">
    <w:name w:val="Верхний колонтитул Знак"/>
    <w:basedOn w:val="3"/>
    <w:link w:val="6"/>
    <w:uiPriority w:val="99"/>
  </w:style>
  <w:style w:type="character" w:customStyle="1" w:styleId="13">
    <w:name w:val="Нижний колонтитул Знак"/>
    <w:basedOn w:val="3"/>
    <w:link w:val="7"/>
    <w:uiPriority w:val="99"/>
  </w:style>
  <w:style w:type="character" w:customStyle="1" w:styleId="14">
    <w:name w:val="Текст выноски Знак"/>
    <w:basedOn w:val="3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9C478-DB91-4ECD-B408-C98A6C665F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302</Words>
  <Characters>1724</Characters>
  <Lines>14</Lines>
  <Paragraphs>4</Paragraphs>
  <TotalTime>323</TotalTime>
  <ScaleCrop>false</ScaleCrop>
  <LinksUpToDate>false</LinksUpToDate>
  <CharactersWithSpaces>2022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2023-10-24T09:58:00Z</dcterms:created>
  <dc:creator>Эдик Мурашкин</dc:creator>
  <cp:lastModifiedBy>Эдик Мурашкин</cp:lastModifiedBy>
  <cp:lastPrinted>2025-07-16T07:33:00Z</cp:lastPrinted>
  <dcterms:modified xsi:type="dcterms:W3CDTF">2025-08-12T10:59:48Z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063BDEA93E3E4524973204707D84996D_12</vt:lpwstr>
  </property>
</Properties>
</file>