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0"/>
      </w:tblGrid>
      <w:tr w:rsidR="00E357E8" w:rsidRPr="00E357E8" w:rsidTr="00D2162E">
        <w:tc>
          <w:tcPr>
            <w:tcW w:w="110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162E" w:rsidRPr="00E357E8" w:rsidRDefault="00D2162E" w:rsidP="00D216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E357E8">
              <w:rPr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D2162E" w:rsidRPr="00E357E8" w:rsidRDefault="00D2162E" w:rsidP="00D216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57E8">
              <w:rPr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D2162E" w:rsidRPr="00E357E8" w:rsidRDefault="00D2162E" w:rsidP="00D216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57E8">
              <w:rPr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D2162E" w:rsidRPr="00E357E8" w:rsidRDefault="00D2162E" w:rsidP="00D2162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357E8">
              <w:rPr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D2162E" w:rsidRPr="00E357E8" w:rsidRDefault="00D2162E" w:rsidP="00D2162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D2162E" w:rsidRPr="00E357E8" w:rsidRDefault="00D2162E" w:rsidP="009F0858">
      <w:pPr>
        <w:jc w:val="center"/>
        <w:rPr>
          <w:b/>
          <w:color w:val="000000" w:themeColor="text1"/>
          <w:sz w:val="28"/>
          <w:szCs w:val="28"/>
        </w:rPr>
      </w:pPr>
    </w:p>
    <w:p w:rsidR="00057688" w:rsidRPr="00E357E8" w:rsidRDefault="00D2162E" w:rsidP="00D2162E">
      <w:pPr>
        <w:jc w:val="center"/>
        <w:rPr>
          <w:b/>
          <w:color w:val="000000" w:themeColor="text1"/>
          <w:sz w:val="28"/>
          <w:szCs w:val="28"/>
        </w:rPr>
      </w:pPr>
      <w:r w:rsidRPr="00E357E8">
        <w:rPr>
          <w:b/>
          <w:color w:val="000000" w:themeColor="text1"/>
          <w:sz w:val="28"/>
          <w:szCs w:val="28"/>
        </w:rPr>
        <w:t>ПОСТАНОВЛЕНИ</w:t>
      </w:r>
      <w:r w:rsidR="00057688" w:rsidRPr="00E357E8">
        <w:rPr>
          <w:b/>
          <w:color w:val="000000" w:themeColor="text1"/>
          <w:sz w:val="28"/>
          <w:szCs w:val="28"/>
        </w:rPr>
        <w:t>Е</w:t>
      </w:r>
    </w:p>
    <w:p w:rsidR="00057688" w:rsidRDefault="00057688" w:rsidP="00D2162E">
      <w:pPr>
        <w:jc w:val="center"/>
        <w:rPr>
          <w:color w:val="000000" w:themeColor="text1"/>
          <w:sz w:val="28"/>
          <w:szCs w:val="28"/>
        </w:rPr>
      </w:pPr>
    </w:p>
    <w:p w:rsidR="009F0858" w:rsidRPr="00E357E8" w:rsidRDefault="00D03FF3" w:rsidP="009F085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15 октября 2025 года № 142</w:t>
      </w:r>
    </w:p>
    <w:p w:rsidR="00057688" w:rsidRPr="00E357E8" w:rsidRDefault="00057688" w:rsidP="00EA568E">
      <w:pPr>
        <w:jc w:val="center"/>
        <w:rPr>
          <w:color w:val="000000" w:themeColor="text1"/>
          <w:sz w:val="28"/>
          <w:szCs w:val="28"/>
        </w:rPr>
      </w:pPr>
    </w:p>
    <w:p w:rsidR="00EA568E" w:rsidRDefault="00D03FF3" w:rsidP="00D03FF3">
      <w:pPr>
        <w:tabs>
          <w:tab w:val="left" w:pos="9360"/>
        </w:tabs>
        <w:ind w:firstLine="709"/>
        <w:jc w:val="both"/>
        <w:rPr>
          <w:b/>
          <w:bCs/>
          <w:color w:val="000000"/>
          <w:spacing w:val="3"/>
          <w:sz w:val="28"/>
          <w:szCs w:val="24"/>
          <w:lang w:eastAsia="ru-RU"/>
        </w:rPr>
      </w:pPr>
      <w:r w:rsidRPr="00D03FF3">
        <w:rPr>
          <w:b/>
          <w:bCs/>
          <w:color w:val="000000"/>
          <w:spacing w:val="3"/>
          <w:sz w:val="28"/>
          <w:szCs w:val="24"/>
          <w:lang w:eastAsia="ru-RU"/>
        </w:rPr>
        <w:t>«Об утверждении Порядка принятия решений о консервации объекта капитального строительства муниципальной собственности сельского поселения Богдановка муниципального района Кинельский Самарской област</w:t>
      </w:r>
      <w:r>
        <w:rPr>
          <w:b/>
          <w:bCs/>
          <w:color w:val="000000"/>
          <w:spacing w:val="3"/>
          <w:sz w:val="28"/>
          <w:szCs w:val="24"/>
          <w:lang w:eastAsia="ru-RU"/>
        </w:rPr>
        <w:t>и, строительство, реконструкция</w:t>
      </w:r>
      <w:r w:rsidRPr="00D03FF3">
        <w:rPr>
          <w:b/>
          <w:bCs/>
          <w:color w:val="000000"/>
          <w:spacing w:val="3"/>
          <w:sz w:val="28"/>
          <w:szCs w:val="24"/>
          <w:lang w:eastAsia="ru-RU"/>
        </w:rPr>
        <w:t xml:space="preserve"> которого осуществлялись полностью или частично за счет средств местного бюджета»</w:t>
      </w:r>
    </w:p>
    <w:p w:rsidR="00D03FF3" w:rsidRPr="00E357E8" w:rsidRDefault="00D03FF3" w:rsidP="00D03FF3">
      <w:pPr>
        <w:tabs>
          <w:tab w:val="left" w:pos="936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B33C4" w:rsidRPr="00E357E8" w:rsidRDefault="00D03FF3" w:rsidP="00BB33C4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03FF3">
        <w:rPr>
          <w:color w:val="000000"/>
          <w:sz w:val="28"/>
          <w:szCs w:val="28"/>
          <w:lang w:eastAsia="ru-RU"/>
        </w:rPr>
        <w:t>В соответствии с частью 9 статьи 52 Градостроительного кодекса Российской Федерации, постановления Правительства Российской</w:t>
      </w:r>
      <w:r>
        <w:rPr>
          <w:color w:val="000000"/>
          <w:sz w:val="28"/>
          <w:szCs w:val="28"/>
          <w:lang w:eastAsia="ru-RU"/>
        </w:rPr>
        <w:t xml:space="preserve"> Федерации от 30.05.2025 № 802 «</w:t>
      </w:r>
      <w:r w:rsidRPr="00D03FF3">
        <w:rPr>
          <w:color w:val="000000"/>
          <w:sz w:val="28"/>
          <w:szCs w:val="28"/>
          <w:lang w:eastAsia="ru-RU"/>
        </w:rPr>
        <w:t>Об утверждении правил консервации объ</w:t>
      </w:r>
      <w:r>
        <w:rPr>
          <w:color w:val="000000"/>
          <w:sz w:val="28"/>
          <w:szCs w:val="28"/>
          <w:lang w:eastAsia="ru-RU"/>
        </w:rPr>
        <w:t>екта капитального строительства»</w:t>
      </w:r>
      <w:r w:rsidRPr="00D03FF3">
        <w:rPr>
          <w:color w:val="000000"/>
          <w:sz w:val="28"/>
          <w:szCs w:val="28"/>
          <w:lang w:eastAsia="ru-RU"/>
        </w:rPr>
        <w:t>, на основании Ус</w:t>
      </w:r>
      <w:r>
        <w:rPr>
          <w:color w:val="000000"/>
          <w:sz w:val="28"/>
          <w:szCs w:val="28"/>
          <w:lang w:eastAsia="ru-RU"/>
        </w:rPr>
        <w:t>тава сельского поселения Богдановка</w:t>
      </w:r>
      <w:r w:rsidRPr="00D03FF3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</w:t>
      </w:r>
      <w:r w:rsidR="001201D3" w:rsidRPr="00E357E8">
        <w:rPr>
          <w:color w:val="000000" w:themeColor="text1"/>
          <w:sz w:val="28"/>
          <w:szCs w:val="28"/>
          <w:lang w:eastAsia="ru-RU"/>
        </w:rPr>
        <w:t xml:space="preserve"> администрация сельского поселения Богдановка муниципального района Кинельский Самарской области</w:t>
      </w:r>
    </w:p>
    <w:p w:rsidR="001201D3" w:rsidRPr="00E357E8" w:rsidRDefault="001201D3" w:rsidP="00BB33C4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7038BF" w:rsidRPr="00E357E8" w:rsidRDefault="007038BF" w:rsidP="00BB33C4">
      <w:pPr>
        <w:tabs>
          <w:tab w:val="left" w:pos="426"/>
        </w:tabs>
        <w:suppressAutoHyphens w:val="0"/>
        <w:jc w:val="center"/>
        <w:rPr>
          <w:color w:val="000000" w:themeColor="text1"/>
          <w:sz w:val="28"/>
          <w:szCs w:val="28"/>
          <w:lang w:eastAsia="ru-RU"/>
        </w:rPr>
      </w:pPr>
      <w:r w:rsidRPr="00E357E8">
        <w:rPr>
          <w:b/>
          <w:bCs/>
          <w:color w:val="000000" w:themeColor="text1"/>
          <w:sz w:val="28"/>
          <w:szCs w:val="28"/>
          <w:lang w:eastAsia="ru-RU"/>
        </w:rPr>
        <w:t>ПОСТАНОВЛЯЕТ</w:t>
      </w:r>
      <w:r w:rsidRPr="00E357E8">
        <w:rPr>
          <w:color w:val="000000" w:themeColor="text1"/>
          <w:sz w:val="28"/>
          <w:szCs w:val="28"/>
          <w:lang w:eastAsia="ru-RU"/>
        </w:rPr>
        <w:t>:</w:t>
      </w:r>
    </w:p>
    <w:p w:rsidR="00BB33C4" w:rsidRPr="00E357E8" w:rsidRDefault="00BB33C4" w:rsidP="00D03FF3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4"/>
          <w:szCs w:val="24"/>
          <w:lang w:eastAsia="ru-RU"/>
        </w:rPr>
      </w:pPr>
    </w:p>
    <w:p w:rsidR="00D03FF3" w:rsidRDefault="00D03FF3" w:rsidP="00D03FF3">
      <w:pPr>
        <w:numPr>
          <w:ilvl w:val="0"/>
          <w:numId w:val="4"/>
        </w:numPr>
        <w:tabs>
          <w:tab w:val="left" w:pos="426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03FF3">
        <w:rPr>
          <w:color w:val="000000"/>
          <w:sz w:val="28"/>
          <w:szCs w:val="28"/>
          <w:lang w:eastAsia="ru-RU"/>
        </w:rPr>
        <w:t>Утвердить Порядок принятия решений о консервации объекта капитального строительства муниципальной собственн</w:t>
      </w:r>
      <w:r>
        <w:rPr>
          <w:color w:val="000000"/>
          <w:sz w:val="28"/>
          <w:szCs w:val="28"/>
          <w:lang w:eastAsia="ru-RU"/>
        </w:rPr>
        <w:t>ости сельского поселения Богдановка</w:t>
      </w:r>
      <w:r w:rsidRPr="00D03FF3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области, строительство, реконструкция которого осуществлялись полностью или частично за счет средств местного бюджета.</w:t>
      </w:r>
    </w:p>
    <w:p w:rsidR="00D03FF3" w:rsidRDefault="00D03FF3" w:rsidP="00D03FF3">
      <w:pPr>
        <w:numPr>
          <w:ilvl w:val="0"/>
          <w:numId w:val="4"/>
        </w:numPr>
        <w:tabs>
          <w:tab w:val="left" w:pos="426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03FF3">
        <w:rPr>
          <w:color w:val="000000"/>
          <w:sz w:val="28"/>
          <w:szCs w:val="28"/>
          <w:lang w:eastAsia="ru-RU"/>
        </w:rPr>
        <w:t>Разместить настоящее постановление на официальном сайте муниципального района Кинельский Самарской области www.kinel.ru и</w:t>
      </w:r>
      <w:r>
        <w:rPr>
          <w:color w:val="000000"/>
          <w:sz w:val="28"/>
          <w:szCs w:val="28"/>
          <w:lang w:eastAsia="ru-RU"/>
        </w:rPr>
        <w:t xml:space="preserve"> в газете </w:t>
      </w:r>
      <w:r w:rsidRPr="00D03FF3">
        <w:rPr>
          <w:color w:val="000000"/>
          <w:sz w:val="28"/>
          <w:szCs w:val="28"/>
          <w:lang w:eastAsia="ru-RU"/>
        </w:rPr>
        <w:t>«Вестник Богдановки».</w:t>
      </w:r>
    </w:p>
    <w:p w:rsidR="00D03FF3" w:rsidRDefault="00D03FF3" w:rsidP="00D03FF3">
      <w:pPr>
        <w:numPr>
          <w:ilvl w:val="0"/>
          <w:numId w:val="4"/>
        </w:numPr>
        <w:tabs>
          <w:tab w:val="left" w:pos="426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03FF3">
        <w:rPr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EA568E" w:rsidRPr="00D03FF3" w:rsidRDefault="00D03FF3" w:rsidP="00D03FF3">
      <w:pPr>
        <w:numPr>
          <w:ilvl w:val="0"/>
          <w:numId w:val="4"/>
        </w:numPr>
        <w:tabs>
          <w:tab w:val="left" w:pos="426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D03FF3">
        <w:rPr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A568E" w:rsidRDefault="00EA568E" w:rsidP="00EA568E">
      <w:pPr>
        <w:tabs>
          <w:tab w:val="left" w:pos="426"/>
        </w:tabs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p w:rsidR="00D03FF3" w:rsidRDefault="00D03FF3" w:rsidP="00EA568E">
      <w:pPr>
        <w:tabs>
          <w:tab w:val="left" w:pos="426"/>
        </w:tabs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p w:rsidR="00D03FF3" w:rsidRPr="00E357E8" w:rsidRDefault="00D03FF3" w:rsidP="00EA568E">
      <w:pPr>
        <w:tabs>
          <w:tab w:val="left" w:pos="426"/>
        </w:tabs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374"/>
      </w:tblGrid>
      <w:tr w:rsidR="00E357E8" w:rsidRPr="00E357E8" w:rsidTr="009F0858">
        <w:tc>
          <w:tcPr>
            <w:tcW w:w="3510" w:type="dxa"/>
          </w:tcPr>
          <w:p w:rsidR="009A5740" w:rsidRPr="00E357E8" w:rsidRDefault="009F0858" w:rsidP="009A5740">
            <w:pPr>
              <w:tabs>
                <w:tab w:val="left" w:pos="426"/>
              </w:tabs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И.о. главы</w:t>
            </w:r>
            <w:r w:rsidR="009A5740" w:rsidRPr="00E357E8">
              <w:rPr>
                <w:color w:val="000000" w:themeColor="text1"/>
                <w:sz w:val="28"/>
                <w:szCs w:val="28"/>
                <w:lang w:eastAsia="ru-RU"/>
              </w:rPr>
              <w:t xml:space="preserve"> сельского поселения Богдановка</w:t>
            </w:r>
          </w:p>
        </w:tc>
        <w:tc>
          <w:tcPr>
            <w:tcW w:w="3686" w:type="dxa"/>
          </w:tcPr>
          <w:p w:rsidR="009A5740" w:rsidRPr="00E357E8" w:rsidRDefault="009A5740" w:rsidP="007038BF">
            <w:pPr>
              <w:tabs>
                <w:tab w:val="left" w:pos="426"/>
              </w:tabs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9A5740" w:rsidRPr="00E357E8" w:rsidRDefault="009A5740" w:rsidP="007038BF">
            <w:pPr>
              <w:tabs>
                <w:tab w:val="left" w:pos="426"/>
              </w:tabs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9A5740" w:rsidRPr="00E357E8" w:rsidRDefault="009F0858" w:rsidP="007038BF">
            <w:pPr>
              <w:tabs>
                <w:tab w:val="left" w:pos="426"/>
              </w:tabs>
              <w:suppressAutoHyphens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Ж.М. Ахмадиева</w:t>
            </w:r>
          </w:p>
        </w:tc>
      </w:tr>
    </w:tbl>
    <w:p w:rsidR="00EA568E" w:rsidRPr="00E357E8" w:rsidRDefault="00EA568E" w:rsidP="001201D3">
      <w:pPr>
        <w:suppressAutoHyphens w:val="0"/>
        <w:rPr>
          <w:color w:val="000000" w:themeColor="text1"/>
          <w:sz w:val="28"/>
          <w:szCs w:val="28"/>
        </w:rPr>
      </w:pPr>
    </w:p>
    <w:p w:rsidR="00EA568E" w:rsidRPr="00D03FF3" w:rsidRDefault="00D03FF3" w:rsidP="00EA568E">
      <w:pPr>
        <w:pStyle w:val="ConsPlusNormal"/>
        <w:tabs>
          <w:tab w:val="center" w:pos="5102"/>
          <w:tab w:val="right" w:pos="1020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</w:rPr>
        <w:br w:type="page"/>
      </w:r>
      <w:r w:rsidR="00EA568E" w:rsidRPr="00E357E8">
        <w:rPr>
          <w:color w:val="000000" w:themeColor="text1"/>
          <w:sz w:val="28"/>
          <w:szCs w:val="28"/>
        </w:rPr>
        <w:lastRenderedPageBreak/>
        <w:br w:type="page"/>
      </w:r>
      <w:r w:rsidRP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УТВЕРЖДЕН</w:t>
      </w:r>
    </w:p>
    <w:p w:rsidR="00D03FF3" w:rsidRPr="00D03FF3" w:rsidRDefault="00D03FF3" w:rsidP="00D03FF3">
      <w:pPr>
        <w:pStyle w:val="ConsPlusNormal"/>
        <w:tabs>
          <w:tab w:val="center" w:pos="5102"/>
          <w:tab w:val="right" w:pos="1020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постановлением администрации</w:t>
      </w:r>
    </w:p>
    <w:p w:rsidR="00D03FF3" w:rsidRDefault="00EA568E" w:rsidP="00D03FF3">
      <w:pPr>
        <w:pStyle w:val="ConsPlusNormal"/>
        <w:tabs>
          <w:tab w:val="center" w:pos="5102"/>
          <w:tab w:val="right" w:pos="1020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сельского поселения</w:t>
      </w:r>
      <w:r w:rsid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Богдановка</w:t>
      </w:r>
    </w:p>
    <w:p w:rsidR="00EA568E" w:rsidRPr="00D03FF3" w:rsidRDefault="00EA568E" w:rsidP="00D03FF3">
      <w:pPr>
        <w:pStyle w:val="ConsPlusNormal"/>
        <w:tabs>
          <w:tab w:val="center" w:pos="5102"/>
          <w:tab w:val="right" w:pos="10204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03FF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муниципального района Кинельский</w:t>
      </w:r>
    </w:p>
    <w:p w:rsidR="00EA568E" w:rsidRPr="00D03FF3" w:rsidRDefault="00EA568E" w:rsidP="00EA568E">
      <w:pPr>
        <w:widowControl w:val="0"/>
        <w:autoSpaceDE w:val="0"/>
        <w:jc w:val="right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Самарской области</w:t>
      </w:r>
    </w:p>
    <w:p w:rsidR="00EA568E" w:rsidRPr="00D03FF3" w:rsidRDefault="00D03FF3" w:rsidP="00EA568E">
      <w:pPr>
        <w:widowControl w:val="0"/>
        <w:autoSpaceDE w:val="0"/>
        <w:jc w:val="right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от 15.10.2025 г. № 142</w:t>
      </w:r>
    </w:p>
    <w:p w:rsidR="00EA568E" w:rsidRPr="00D03FF3" w:rsidRDefault="00EA568E" w:rsidP="00EA568E">
      <w:pPr>
        <w:widowControl w:val="0"/>
        <w:autoSpaceDE w:val="0"/>
        <w:jc w:val="both"/>
        <w:rPr>
          <w:color w:val="000000" w:themeColor="text1"/>
          <w:szCs w:val="22"/>
          <w:lang w:eastAsia="ar-SA"/>
        </w:rPr>
      </w:pPr>
    </w:p>
    <w:p w:rsidR="00EA568E" w:rsidRPr="00D03FF3" w:rsidRDefault="00EA568E" w:rsidP="00EA568E">
      <w:pPr>
        <w:widowControl w:val="0"/>
        <w:autoSpaceDE w:val="0"/>
        <w:jc w:val="both"/>
        <w:rPr>
          <w:color w:val="000000" w:themeColor="text1"/>
          <w:szCs w:val="22"/>
          <w:lang w:eastAsia="ar-SA"/>
        </w:rPr>
      </w:pPr>
    </w:p>
    <w:p w:rsidR="00D03FF3" w:rsidRPr="00D03FF3" w:rsidRDefault="00D03FF3" w:rsidP="00D03FF3">
      <w:pPr>
        <w:widowControl w:val="0"/>
        <w:autoSpaceDE w:val="0"/>
        <w:jc w:val="center"/>
        <w:rPr>
          <w:b/>
          <w:bCs/>
          <w:color w:val="000000" w:themeColor="text1"/>
          <w:sz w:val="28"/>
          <w:szCs w:val="28"/>
          <w:lang w:eastAsia="ar-SA"/>
        </w:rPr>
      </w:pPr>
    </w:p>
    <w:p w:rsidR="00D03FF3" w:rsidRDefault="00D03FF3" w:rsidP="00D03FF3">
      <w:pPr>
        <w:widowControl w:val="0"/>
        <w:autoSpaceDE w:val="0"/>
        <w:jc w:val="center"/>
        <w:rPr>
          <w:b/>
          <w:bCs/>
          <w:color w:val="000000" w:themeColor="text1"/>
          <w:sz w:val="28"/>
          <w:szCs w:val="28"/>
          <w:lang w:eastAsia="ar-SA"/>
        </w:rPr>
      </w:pPr>
      <w:r w:rsidRPr="00D03FF3">
        <w:rPr>
          <w:b/>
          <w:bCs/>
          <w:color w:val="000000" w:themeColor="text1"/>
          <w:sz w:val="28"/>
          <w:szCs w:val="28"/>
          <w:lang w:eastAsia="ar-SA"/>
        </w:rPr>
        <w:t>Порядок принятия решений о консервации объекта капитального строительства муниципальной собственности сельского поселения Богдановка муниципального района Кинельский Самарской области, строительство, реконструкция которого осуществлялись полностью или частично за счет средств местного бюджета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b/>
          <w:bCs/>
          <w:color w:val="000000" w:themeColor="text1"/>
          <w:sz w:val="28"/>
          <w:szCs w:val="28"/>
          <w:lang w:eastAsia="ar-SA"/>
        </w:rPr>
      </w:pP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1. Настоящий Порядок устанавливает порядок консервации объекта капитального строительства, а также особенности принятия решения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бюджетов бюджетной системы Российской Федерации.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2. Решение о консервации объекта капитального строительства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3. Решение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 муниципального образования.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4. В случаях, указанных в</w:t>
      </w:r>
      <w:r w:rsidRPr="00D03FF3">
        <w:rPr>
          <w:color w:val="000000" w:themeColor="text1"/>
          <w:sz w:val="28"/>
          <w:szCs w:val="28"/>
          <w:lang w:val="en-US" w:eastAsia="ar-SA"/>
        </w:rPr>
        <w:t> </w:t>
      </w:r>
      <w:r w:rsidRPr="00D03FF3">
        <w:rPr>
          <w:color w:val="000000" w:themeColor="text1"/>
          <w:sz w:val="28"/>
          <w:szCs w:val="28"/>
          <w:lang w:eastAsia="ar-SA"/>
        </w:rPr>
        <w:t>пункте 2 настоящих Правил, застройщик (технический заказчик) обеспечивает приведение объекта капитального строительства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капитального строительства и строительной площадки для жизни и здоровья физических лиц и окружающей среды.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5. В решении о консервации объекта капитального строительства должны быть определены: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а) перечень работ по консервации объекта капитального строительства, сформированный с учетом положений пункта 8 настоящего Порядка;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б) 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застройщика (технического заказчика) или организация);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lastRenderedPageBreak/>
        <w:t>в) 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- техническая документация), а также сроки начала и окончания проведения работ по его консервации;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г) размер средств на проведение работ по консервации объекта капитального строительства, определяемый на основании акта, подготовленного лицом, осуществляющим строительство, реконструкцию объекта капитального строительства (далее - подрядчик), и утвержденного застройщиком (техническим заказчиком).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6. На основании решения о консервации объекта капитального строительства застройщик (технический заказчик) совместно с подрядчиком проводит инвентаризацию выполненных работ по строительству, реконструкции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а) выполняются схемы и чертежи с описанием состояния объекта капитального строительства и указанием объемов выполненных работ;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б) составляются ведомости, в которых указываются сведения: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о наличии (отсутствии) исполнительной документации.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7.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Pr="00D03FF3">
        <w:rPr>
          <w:color w:val="000000" w:themeColor="text1"/>
          <w:sz w:val="28"/>
          <w:szCs w:val="28"/>
          <w:lang w:eastAsia="ar-SA"/>
        </w:rPr>
        <w:t>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(техническим заказчиком).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8. В состав работ по консервации объекта капитального строительства входят в том числе: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а) выполнение конструкций, в том числе временных, принимающих проектные нагрузки;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б) 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в) освобождение емкостей и трубопроводов от опасных и горючих жидкостей, закрытие или сварка люков и крупных отверстий;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г) приведение технологического оборудования в безопасное состояние;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д) 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е) 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:rsidR="00D03FF3" w:rsidRP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lastRenderedPageBreak/>
        <w:t xml:space="preserve">9. Застройщик (технический заказчик) в течение 10 календарных дней после принятия решения о консервации объекта капитального строительства уведомляет об этом подрядчика, орган, выдавший разрешение на строительство, реконструкцию, а также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</w:t>
      </w:r>
      <w:r>
        <w:rPr>
          <w:color w:val="000000" w:themeColor="text1"/>
          <w:sz w:val="28"/>
          <w:szCs w:val="28"/>
          <w:lang w:eastAsia="ar-SA"/>
        </w:rPr>
        <w:t>атомной энергии «Росатом»</w:t>
      </w:r>
      <w:r w:rsidRPr="00D03FF3">
        <w:rPr>
          <w:color w:val="000000" w:themeColor="text1"/>
          <w:sz w:val="28"/>
          <w:szCs w:val="28"/>
          <w:lang w:eastAsia="ar-SA"/>
        </w:rPr>
        <w:t xml:space="preserve"> в случае, если строительство, реконструкция объекта капитального строительства подлежат государственному строительному надзору.</w:t>
      </w:r>
    </w:p>
    <w:p w:rsidR="00747A72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D03FF3">
        <w:rPr>
          <w:color w:val="000000" w:themeColor="text1"/>
          <w:sz w:val="28"/>
          <w:szCs w:val="28"/>
          <w:lang w:eastAsia="ar-SA"/>
        </w:rPr>
        <w:t>10. 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 муниципального образования, которым определяется в том числе источник финансового обеспечения расходов, связанных с завершением строительства,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бюджета.</w:t>
      </w:r>
    </w:p>
    <w:p w:rsidR="00D03FF3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p w:rsidR="00D03FF3" w:rsidRPr="00E357E8" w:rsidRDefault="00D03FF3" w:rsidP="00D03FF3">
      <w:pPr>
        <w:widowControl w:val="0"/>
        <w:autoSpaceDE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sectPr w:rsidR="00D03FF3" w:rsidRPr="00E357E8" w:rsidSect="009A5740">
      <w:pgSz w:w="11906" w:h="16838" w:code="9"/>
      <w:pgMar w:top="1134" w:right="851" w:bottom="1134" w:left="1701" w:header="510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4F39"/>
    <w:multiLevelType w:val="hybridMultilevel"/>
    <w:tmpl w:val="375EA0E6"/>
    <w:lvl w:ilvl="0" w:tplc="3634D5D2">
      <w:start w:val="1"/>
      <w:numFmt w:val="decimal"/>
      <w:lvlText w:val="%1."/>
      <w:lvlJc w:val="left"/>
      <w:pPr>
        <w:ind w:left="1255" w:hanging="329"/>
      </w:pPr>
      <w:rPr>
        <w:rFonts w:ascii="Times New Roman" w:eastAsia="Times New Roman" w:hAnsi="Times New Roman" w:cs="Times New Roman"/>
        <w:spacing w:val="-1"/>
        <w:w w:val="89"/>
        <w:sz w:val="27"/>
        <w:szCs w:val="27"/>
      </w:rPr>
    </w:lvl>
    <w:lvl w:ilvl="1" w:tplc="3A3A0C62">
      <w:numFmt w:val="bullet"/>
      <w:lvlText w:val="•"/>
      <w:lvlJc w:val="left"/>
      <w:pPr>
        <w:ind w:left="2216" w:hanging="329"/>
      </w:pPr>
      <w:rPr>
        <w:rFonts w:hint="default"/>
      </w:rPr>
    </w:lvl>
    <w:lvl w:ilvl="2" w:tplc="8656F518">
      <w:numFmt w:val="bullet"/>
      <w:lvlText w:val="•"/>
      <w:lvlJc w:val="left"/>
      <w:pPr>
        <w:ind w:left="3172" w:hanging="329"/>
      </w:pPr>
      <w:rPr>
        <w:rFonts w:hint="default"/>
      </w:rPr>
    </w:lvl>
    <w:lvl w:ilvl="3" w:tplc="236C59FC">
      <w:numFmt w:val="bullet"/>
      <w:lvlText w:val="•"/>
      <w:lvlJc w:val="left"/>
      <w:pPr>
        <w:ind w:left="4128" w:hanging="329"/>
      </w:pPr>
      <w:rPr>
        <w:rFonts w:hint="default"/>
      </w:rPr>
    </w:lvl>
    <w:lvl w:ilvl="4" w:tplc="7324AC0A">
      <w:numFmt w:val="bullet"/>
      <w:lvlText w:val="•"/>
      <w:lvlJc w:val="left"/>
      <w:pPr>
        <w:ind w:left="5084" w:hanging="329"/>
      </w:pPr>
      <w:rPr>
        <w:rFonts w:hint="default"/>
      </w:rPr>
    </w:lvl>
    <w:lvl w:ilvl="5" w:tplc="A1222EF6">
      <w:numFmt w:val="bullet"/>
      <w:lvlText w:val="•"/>
      <w:lvlJc w:val="left"/>
      <w:pPr>
        <w:ind w:left="6040" w:hanging="329"/>
      </w:pPr>
      <w:rPr>
        <w:rFonts w:hint="default"/>
      </w:rPr>
    </w:lvl>
    <w:lvl w:ilvl="6" w:tplc="05783D0E">
      <w:numFmt w:val="bullet"/>
      <w:lvlText w:val="•"/>
      <w:lvlJc w:val="left"/>
      <w:pPr>
        <w:ind w:left="6996" w:hanging="329"/>
      </w:pPr>
      <w:rPr>
        <w:rFonts w:hint="default"/>
      </w:rPr>
    </w:lvl>
    <w:lvl w:ilvl="7" w:tplc="B41898DC">
      <w:numFmt w:val="bullet"/>
      <w:lvlText w:val="•"/>
      <w:lvlJc w:val="left"/>
      <w:pPr>
        <w:ind w:left="7952" w:hanging="329"/>
      </w:pPr>
      <w:rPr>
        <w:rFonts w:hint="default"/>
      </w:rPr>
    </w:lvl>
    <w:lvl w:ilvl="8" w:tplc="CD98F76E">
      <w:numFmt w:val="bullet"/>
      <w:lvlText w:val="•"/>
      <w:lvlJc w:val="left"/>
      <w:pPr>
        <w:ind w:left="8908" w:hanging="329"/>
      </w:pPr>
      <w:rPr>
        <w:rFonts w:hint="default"/>
      </w:rPr>
    </w:lvl>
  </w:abstractNum>
  <w:abstractNum w:abstractNumId="1">
    <w:nsid w:val="21725480"/>
    <w:multiLevelType w:val="hybridMultilevel"/>
    <w:tmpl w:val="28EE80E4"/>
    <w:lvl w:ilvl="0" w:tplc="163C3AC6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4F202B"/>
    <w:multiLevelType w:val="hybridMultilevel"/>
    <w:tmpl w:val="3C002874"/>
    <w:lvl w:ilvl="0" w:tplc="1DB0426A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BB66CB"/>
    <w:multiLevelType w:val="hybridMultilevel"/>
    <w:tmpl w:val="9AE0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C1"/>
    <w:rsid w:val="00024246"/>
    <w:rsid w:val="00057688"/>
    <w:rsid w:val="000704E6"/>
    <w:rsid w:val="000836AA"/>
    <w:rsid w:val="00094044"/>
    <w:rsid w:val="00094A5D"/>
    <w:rsid w:val="000A1853"/>
    <w:rsid w:val="001201D3"/>
    <w:rsid w:val="001637A2"/>
    <w:rsid w:val="001657CE"/>
    <w:rsid w:val="00185BB6"/>
    <w:rsid w:val="001B5F03"/>
    <w:rsid w:val="001D7FB8"/>
    <w:rsid w:val="001F47F5"/>
    <w:rsid w:val="001F78DD"/>
    <w:rsid w:val="002028C8"/>
    <w:rsid w:val="00222014"/>
    <w:rsid w:val="00223AA4"/>
    <w:rsid w:val="00263F09"/>
    <w:rsid w:val="002701C1"/>
    <w:rsid w:val="00290788"/>
    <w:rsid w:val="002A1E50"/>
    <w:rsid w:val="002F4014"/>
    <w:rsid w:val="00301C3B"/>
    <w:rsid w:val="00302874"/>
    <w:rsid w:val="00321AD0"/>
    <w:rsid w:val="003A73FE"/>
    <w:rsid w:val="003E5054"/>
    <w:rsid w:val="003F7F58"/>
    <w:rsid w:val="00404503"/>
    <w:rsid w:val="004278A5"/>
    <w:rsid w:val="00487497"/>
    <w:rsid w:val="00496DEA"/>
    <w:rsid w:val="004B2308"/>
    <w:rsid w:val="004E14B0"/>
    <w:rsid w:val="004F36D8"/>
    <w:rsid w:val="0052756F"/>
    <w:rsid w:val="00527CAC"/>
    <w:rsid w:val="00535514"/>
    <w:rsid w:val="00537BA1"/>
    <w:rsid w:val="0055670A"/>
    <w:rsid w:val="00571816"/>
    <w:rsid w:val="005A35B9"/>
    <w:rsid w:val="005D09D3"/>
    <w:rsid w:val="005F1F73"/>
    <w:rsid w:val="005F36B8"/>
    <w:rsid w:val="00603D4D"/>
    <w:rsid w:val="006122F6"/>
    <w:rsid w:val="00612F28"/>
    <w:rsid w:val="00617609"/>
    <w:rsid w:val="00657A5C"/>
    <w:rsid w:val="006966E0"/>
    <w:rsid w:val="006B7830"/>
    <w:rsid w:val="006F3F52"/>
    <w:rsid w:val="00701016"/>
    <w:rsid w:val="007038BF"/>
    <w:rsid w:val="00743407"/>
    <w:rsid w:val="00747A72"/>
    <w:rsid w:val="007503EC"/>
    <w:rsid w:val="007527E8"/>
    <w:rsid w:val="00756686"/>
    <w:rsid w:val="00774448"/>
    <w:rsid w:val="007C036B"/>
    <w:rsid w:val="007C355D"/>
    <w:rsid w:val="007D7D58"/>
    <w:rsid w:val="007E0C76"/>
    <w:rsid w:val="0082318A"/>
    <w:rsid w:val="008668DF"/>
    <w:rsid w:val="008737EE"/>
    <w:rsid w:val="008739F3"/>
    <w:rsid w:val="00890B62"/>
    <w:rsid w:val="008A5D73"/>
    <w:rsid w:val="008B7E45"/>
    <w:rsid w:val="008E57C5"/>
    <w:rsid w:val="0093630C"/>
    <w:rsid w:val="00994477"/>
    <w:rsid w:val="009A15F6"/>
    <w:rsid w:val="009A5740"/>
    <w:rsid w:val="009C084D"/>
    <w:rsid w:val="009C64B2"/>
    <w:rsid w:val="009F0858"/>
    <w:rsid w:val="00A16FAC"/>
    <w:rsid w:val="00A17EC5"/>
    <w:rsid w:val="00A24EA1"/>
    <w:rsid w:val="00A84A00"/>
    <w:rsid w:val="00AC4B0D"/>
    <w:rsid w:val="00AC5E25"/>
    <w:rsid w:val="00AD6033"/>
    <w:rsid w:val="00AE72F8"/>
    <w:rsid w:val="00B01202"/>
    <w:rsid w:val="00B01CDE"/>
    <w:rsid w:val="00B31930"/>
    <w:rsid w:val="00B35778"/>
    <w:rsid w:val="00B81666"/>
    <w:rsid w:val="00B81E26"/>
    <w:rsid w:val="00B96BC9"/>
    <w:rsid w:val="00BA0765"/>
    <w:rsid w:val="00BA2D96"/>
    <w:rsid w:val="00BA4FCA"/>
    <w:rsid w:val="00BA7C47"/>
    <w:rsid w:val="00BB33C4"/>
    <w:rsid w:val="00C06366"/>
    <w:rsid w:val="00C65B77"/>
    <w:rsid w:val="00C95579"/>
    <w:rsid w:val="00CC2220"/>
    <w:rsid w:val="00CC471F"/>
    <w:rsid w:val="00CC59F6"/>
    <w:rsid w:val="00D03FF3"/>
    <w:rsid w:val="00D14DF3"/>
    <w:rsid w:val="00D2162E"/>
    <w:rsid w:val="00D66EBB"/>
    <w:rsid w:val="00D85CDD"/>
    <w:rsid w:val="00DB5450"/>
    <w:rsid w:val="00DB5C8B"/>
    <w:rsid w:val="00DC680F"/>
    <w:rsid w:val="00DE1446"/>
    <w:rsid w:val="00E33F02"/>
    <w:rsid w:val="00E357E8"/>
    <w:rsid w:val="00E7585B"/>
    <w:rsid w:val="00E90A43"/>
    <w:rsid w:val="00E91C36"/>
    <w:rsid w:val="00E9258C"/>
    <w:rsid w:val="00E954AC"/>
    <w:rsid w:val="00EA568E"/>
    <w:rsid w:val="00EC67E9"/>
    <w:rsid w:val="00ED186B"/>
    <w:rsid w:val="00F05937"/>
    <w:rsid w:val="00F1111B"/>
    <w:rsid w:val="00F11B23"/>
    <w:rsid w:val="00F12845"/>
    <w:rsid w:val="00F221A1"/>
    <w:rsid w:val="00F3035F"/>
    <w:rsid w:val="00F4369F"/>
    <w:rsid w:val="00F51957"/>
    <w:rsid w:val="00F75229"/>
    <w:rsid w:val="00F83B53"/>
    <w:rsid w:val="00FA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1C1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01C1"/>
    <w:pPr>
      <w:ind w:left="720"/>
      <w:contextualSpacing/>
    </w:pPr>
  </w:style>
  <w:style w:type="paragraph" w:customStyle="1" w:styleId="a4">
    <w:name w:val="Содержимое врезки"/>
    <w:basedOn w:val="a5"/>
    <w:uiPriority w:val="99"/>
    <w:rsid w:val="002701C1"/>
    <w:pPr>
      <w:widowControl w:val="0"/>
    </w:pPr>
    <w:rPr>
      <w:rFonts w:cs="Tahoma"/>
      <w:kern w:val="2"/>
      <w:sz w:val="24"/>
      <w:szCs w:val="24"/>
      <w:lang w:bidi="hi-IN"/>
    </w:rPr>
  </w:style>
  <w:style w:type="paragraph" w:styleId="a5">
    <w:name w:val="Body Text"/>
    <w:basedOn w:val="a"/>
    <w:link w:val="a6"/>
    <w:uiPriority w:val="99"/>
    <w:semiHidden/>
    <w:rsid w:val="002701C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2701C1"/>
    <w:rPr>
      <w:rFonts w:ascii="Times New Roman" w:hAnsi="Times New Roman" w:cs="Times New Roman"/>
      <w:sz w:val="20"/>
      <w:szCs w:val="20"/>
      <w:lang w:val="x-none" w:eastAsia="zh-CN"/>
    </w:rPr>
  </w:style>
  <w:style w:type="character" w:styleId="a7">
    <w:name w:val="Strong"/>
    <w:basedOn w:val="a0"/>
    <w:uiPriority w:val="99"/>
    <w:qFormat/>
    <w:locked/>
    <w:rsid w:val="008A5D73"/>
    <w:rPr>
      <w:rFonts w:cs="Times New Roman"/>
      <w:b/>
    </w:rPr>
  </w:style>
  <w:style w:type="paragraph" w:customStyle="1" w:styleId="ConsPlusNormal">
    <w:name w:val="ConsPlusNormal"/>
    <w:uiPriority w:val="99"/>
    <w:rsid w:val="008A5D7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semiHidden/>
    <w:rsid w:val="008A5D73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496DEA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5D09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09D3"/>
    <w:pPr>
      <w:widowControl w:val="0"/>
      <w:suppressAutoHyphens w:val="0"/>
      <w:autoSpaceDE w:val="0"/>
      <w:autoSpaceDN w:val="0"/>
      <w:ind w:left="122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03D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03D4D"/>
    <w:rPr>
      <w:rFonts w:ascii="Segoe UI" w:hAnsi="Segoe UI" w:cs="Segoe UI"/>
      <w:sz w:val="18"/>
      <w:szCs w:val="18"/>
      <w:lang w:val="x-none" w:eastAsia="zh-CN"/>
    </w:rPr>
  </w:style>
  <w:style w:type="table" w:styleId="ab">
    <w:name w:val="Table Grid"/>
    <w:basedOn w:val="a1"/>
    <w:uiPriority w:val="39"/>
    <w:locked/>
    <w:rsid w:val="00D2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201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201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1C1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01C1"/>
    <w:pPr>
      <w:ind w:left="720"/>
      <w:contextualSpacing/>
    </w:pPr>
  </w:style>
  <w:style w:type="paragraph" w:customStyle="1" w:styleId="a4">
    <w:name w:val="Содержимое врезки"/>
    <w:basedOn w:val="a5"/>
    <w:uiPriority w:val="99"/>
    <w:rsid w:val="002701C1"/>
    <w:pPr>
      <w:widowControl w:val="0"/>
    </w:pPr>
    <w:rPr>
      <w:rFonts w:cs="Tahoma"/>
      <w:kern w:val="2"/>
      <w:sz w:val="24"/>
      <w:szCs w:val="24"/>
      <w:lang w:bidi="hi-IN"/>
    </w:rPr>
  </w:style>
  <w:style w:type="paragraph" w:styleId="a5">
    <w:name w:val="Body Text"/>
    <w:basedOn w:val="a"/>
    <w:link w:val="a6"/>
    <w:uiPriority w:val="99"/>
    <w:semiHidden/>
    <w:rsid w:val="002701C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2701C1"/>
    <w:rPr>
      <w:rFonts w:ascii="Times New Roman" w:hAnsi="Times New Roman" w:cs="Times New Roman"/>
      <w:sz w:val="20"/>
      <w:szCs w:val="20"/>
      <w:lang w:val="x-none" w:eastAsia="zh-CN"/>
    </w:rPr>
  </w:style>
  <w:style w:type="character" w:styleId="a7">
    <w:name w:val="Strong"/>
    <w:basedOn w:val="a0"/>
    <w:uiPriority w:val="99"/>
    <w:qFormat/>
    <w:locked/>
    <w:rsid w:val="008A5D73"/>
    <w:rPr>
      <w:rFonts w:cs="Times New Roman"/>
      <w:b/>
    </w:rPr>
  </w:style>
  <w:style w:type="paragraph" w:customStyle="1" w:styleId="ConsPlusNormal">
    <w:name w:val="ConsPlusNormal"/>
    <w:uiPriority w:val="99"/>
    <w:rsid w:val="008A5D7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semiHidden/>
    <w:rsid w:val="008A5D73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496DEA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5D09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09D3"/>
    <w:pPr>
      <w:widowControl w:val="0"/>
      <w:suppressAutoHyphens w:val="0"/>
      <w:autoSpaceDE w:val="0"/>
      <w:autoSpaceDN w:val="0"/>
      <w:ind w:left="122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03D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03D4D"/>
    <w:rPr>
      <w:rFonts w:ascii="Segoe UI" w:hAnsi="Segoe UI" w:cs="Segoe UI"/>
      <w:sz w:val="18"/>
      <w:szCs w:val="18"/>
      <w:lang w:val="x-none" w:eastAsia="zh-CN"/>
    </w:rPr>
  </w:style>
  <w:style w:type="table" w:styleId="ab">
    <w:name w:val="Table Grid"/>
    <w:basedOn w:val="a1"/>
    <w:uiPriority w:val="39"/>
    <w:locked/>
    <w:rsid w:val="00D2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201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201D3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67DC-7FE1-42FA-9DE4-FF333793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Богдановка 2</dc:creator>
  <cp:lastModifiedBy>adminsite</cp:lastModifiedBy>
  <cp:revision>2</cp:revision>
  <cp:lastPrinted>2025-10-15T10:34:00Z</cp:lastPrinted>
  <dcterms:created xsi:type="dcterms:W3CDTF">2025-10-15T11:27:00Z</dcterms:created>
  <dcterms:modified xsi:type="dcterms:W3CDTF">2025-10-15T11:27:00Z</dcterms:modified>
</cp:coreProperties>
</file>