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A" w:rsidRPr="00607E0B" w:rsidRDefault="0024111C" w:rsidP="00A80905">
      <w:pPr>
        <w:ind w:left="-284" w:firstLine="256"/>
        <w:jc w:val="center"/>
      </w:pPr>
      <w:bookmarkStart w:id="0" w:name="_GoBack"/>
      <w:bookmarkEnd w:id="0"/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</w:t>
      </w:r>
      <w:r w:rsidR="00481358">
        <w:t xml:space="preserve">  </w:t>
      </w:r>
      <w:r w:rsidR="00CF3080">
        <w:t xml:space="preserve">                    </w:t>
      </w:r>
      <w:r w:rsidR="00D94665">
        <w:t xml:space="preserve">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D94665">
        <w:tab/>
      </w:r>
      <w:r w:rsidR="005576A0">
        <w:t>ПРОЕКТ</w:t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Кинельский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2022-2027 годы», утвержденную постановлением администрации муниципального района Кинельский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>Контроль за выполнением настоящего постановления возложить на директора МБУ «Управление строительства, архитектуры и ЖКХ муниципального района Кинельский Самарской области» Трунова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94665">
        <w:rPr>
          <w:sz w:val="28"/>
          <w:szCs w:val="28"/>
          <w:lang w:val="en-US"/>
        </w:rPr>
        <w:t>kinel</w:t>
      </w:r>
      <w:r w:rsidRPr="00D94665">
        <w:rPr>
          <w:sz w:val="28"/>
          <w:szCs w:val="28"/>
        </w:rPr>
        <w:t>.</w:t>
      </w:r>
      <w:r w:rsidRPr="00D94665">
        <w:rPr>
          <w:sz w:val="28"/>
          <w:szCs w:val="28"/>
          <w:lang w:val="en-US"/>
        </w:rPr>
        <w:t>ru</w:t>
      </w:r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7B36FB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7B36FB" w:rsidP="007B3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A0603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CF3080">
        <w:t xml:space="preserve">                          </w:t>
      </w:r>
      <w:r w:rsidR="00770EFE">
        <w:rPr>
          <w:sz w:val="28"/>
          <w:lang w:eastAsia="ar-SA"/>
        </w:rPr>
        <w:t xml:space="preserve">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п.1.</w:t>
      </w:r>
      <w:r w:rsidR="00C86EB2">
        <w:rPr>
          <w:sz w:val="28"/>
          <w:szCs w:val="28"/>
        </w:rPr>
        <w:t>84</w:t>
      </w:r>
      <w:r w:rsidR="00E44851">
        <w:rPr>
          <w:sz w:val="28"/>
          <w:szCs w:val="28"/>
        </w:rPr>
        <w:t>, 1.</w:t>
      </w:r>
      <w:r w:rsidR="00C86EB2">
        <w:rPr>
          <w:sz w:val="28"/>
          <w:szCs w:val="28"/>
        </w:rPr>
        <w:t>107-1.114</w:t>
      </w:r>
      <w:r w:rsidR="00E44851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9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4B4DEE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C86EB2" w:rsidP="001F04E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rStyle w:val="docdata"/>
                <w:color w:val="000000"/>
                <w:sz w:val="16"/>
                <w:szCs w:val="16"/>
              </w:rPr>
              <w:t>415,65599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Выполнение работ по ремонту кабинета труда в ГБОУ ООШ с. Парфеновка в 2025 г.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19,39429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Ремонт помещения спальни в здании СП ДС ГБОУ СОШ с. Сколково, расположенного по адресу: Самарская область, Кинельский район, с. Сколково, ул. Советская,41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54,44743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F3080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lastRenderedPageBreak/>
              <w:t>1.110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3C" w:rsidRDefault="0068163C" w:rsidP="00BD5E19">
      <w:r>
        <w:separator/>
      </w:r>
    </w:p>
  </w:endnote>
  <w:endnote w:type="continuationSeparator" w:id="0">
    <w:p w:rsidR="0068163C" w:rsidRDefault="0068163C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3C" w:rsidRDefault="0068163C" w:rsidP="00BD5E19">
      <w:r>
        <w:separator/>
      </w:r>
    </w:p>
  </w:footnote>
  <w:footnote w:type="continuationSeparator" w:id="0">
    <w:p w:rsidR="0068163C" w:rsidRDefault="0068163C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6C76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43FA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4DEE"/>
    <w:rsid w:val="004B6369"/>
    <w:rsid w:val="004B7DCC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6A25"/>
    <w:rsid w:val="00817986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8450C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23AA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1C8F"/>
    <w:rsid w:val="00DF41E7"/>
    <w:rsid w:val="00E02FB3"/>
    <w:rsid w:val="00E10BC7"/>
    <w:rsid w:val="00E20B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1B244-9167-4771-9919-951442BD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adminsite</cp:lastModifiedBy>
  <cp:revision>2</cp:revision>
  <cp:lastPrinted>2025-07-04T06:52:00Z</cp:lastPrinted>
  <dcterms:created xsi:type="dcterms:W3CDTF">2025-07-14T04:21:00Z</dcterms:created>
  <dcterms:modified xsi:type="dcterms:W3CDTF">2025-07-14T04:21:00Z</dcterms:modified>
</cp:coreProperties>
</file>