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 марта 2020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Внесите актуальный адрес своей электронной почты в ЕГРН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Управление Росреестра по Самарской области рекомендует жителям региона внести в Единый государственный реестр недвижимости (ЕГРН) данные об адресе электронной почты. Это позволит оперативно получать информацию о своей недвижимости, а также предотвратить в отношении нее мошеннические действия. Услуга по внесению в ЕГРН сведений об адресе электронной почты является бесплатной.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Адрес электронной почты относится к дополнительным сведениям и вносится в ЕГРН только по желанию владельца недвижимости. Как сообщили в Управлении Росреестра по Самарской области, в настоящее время информация об адресе электронной почты указана всего лишь у одного процента физических лиц, за которыми в ЕГРН зарегистрировано право собственности. Вместе с тем сообщить ведомству свой актуальный адрес электронной почты важно, поскольку это является одним из реальных механизмов защиты от мошеннических действий в сфере недвижимости. 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Когда в регистрирующий орган поступает заявление о регистрации перехода или прекращения права собственности в электронном виде, Управление Росреестра в этот же день незамедлительно направляет соответствующее уведомление собственнику по адресу электронной почты, указанному в ЕГРН. Если собственник такого заявления не подавал, он сможет оперативно сообщить об этом </w:t>
      </w:r>
      <w:proofErr w:type="spellStart"/>
      <w:r>
        <w:rPr>
          <w:rFonts w:ascii="Segoe UI" w:hAnsi="Segoe UI" w:cs="Segoe UI"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color w:val="000000" w:themeColor="text1"/>
        </w:rPr>
        <w:t xml:space="preserve">, что позволит пресечь незаконное завладение чужим имуществом мошенниками. </w:t>
      </w:r>
      <w:proofErr w:type="gramStart"/>
      <w:r>
        <w:rPr>
          <w:rFonts w:ascii="Segoe UI" w:hAnsi="Segoe UI" w:cs="Segoe UI"/>
          <w:color w:val="000000" w:themeColor="text1"/>
        </w:rPr>
        <w:t>Если данных нет, или они уже устарели, собственник важную для него информацию получить не сможет</w:t>
      </w:r>
      <w:proofErr w:type="gramEnd"/>
      <w:r>
        <w:rPr>
          <w:rFonts w:ascii="Segoe UI" w:hAnsi="Segoe UI" w:cs="Segoe UI"/>
          <w:color w:val="000000" w:themeColor="text1"/>
        </w:rPr>
        <w:t xml:space="preserve">, - говорит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Дмитрий Кожевников</w:t>
      </w:r>
      <w:r>
        <w:rPr>
          <w:rFonts w:ascii="Segoe UI" w:hAnsi="Segoe UI" w:cs="Segoe UI"/>
          <w:color w:val="000000" w:themeColor="text1"/>
        </w:rPr>
        <w:t>.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  <w:lang w:val="de-DE"/>
        </w:rPr>
      </w:pPr>
      <w:r>
        <w:rPr>
          <w:rFonts w:ascii="Segoe UI" w:hAnsi="Segoe UI" w:cs="Segoe UI"/>
          <w:color w:val="000000" w:themeColor="text1"/>
        </w:rPr>
        <w:lastRenderedPageBreak/>
        <w:t xml:space="preserve">Норма об уведомлении граждан о поступлении в орган регистрации прав электронных заявлений о регистрации перехода или прекращения права собственности вступила в силу с 1 ноября 2019 года. По состоянию на 13 марта 2020 года Управление Росреестра направило 899 таких уведомлений собственникам. </w:t>
      </w:r>
    </w:p>
    <w:p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Заявление о внесении в ЕГРН сведений об адресе электронной почты жители Самарской области могут подать бесплатно в любом многофункциональном центре.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54" w:lineRule="auto"/>
      </w:pPr>
    </w:p>
    <w:p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iCs/>
          <w:color w:val="000000" w:themeColor="text1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3E4-0A4A-4397-94A7-516ECA6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87</cp:revision>
  <cp:lastPrinted>2020-03-13T07:20:00Z</cp:lastPrinted>
  <dcterms:created xsi:type="dcterms:W3CDTF">2020-03-12T12:13:00Z</dcterms:created>
  <dcterms:modified xsi:type="dcterms:W3CDTF">2020-03-13T07:21:00Z</dcterms:modified>
</cp:coreProperties>
</file>