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B1" w:rsidRDefault="00EC26B1" w:rsidP="00EC26B1">
      <w:pPr>
        <w:pStyle w:val="a3"/>
        <w:jc w:val="right"/>
      </w:pPr>
      <w:r>
        <w:rPr>
          <w:i/>
          <w:iCs/>
        </w:rPr>
        <w:t>Историю хранят не столько книги,</w:t>
      </w:r>
      <w:r>
        <w:rPr>
          <w:i/>
          <w:iCs/>
        </w:rPr>
        <w:br/>
        <w:t>И не листов исписанных строка к строке,</w:t>
      </w:r>
      <w:r>
        <w:rPr>
          <w:i/>
          <w:iCs/>
        </w:rPr>
        <w:br/>
        <w:t>архивы – вот чем прошлого моменты живы,</w:t>
      </w:r>
      <w:r>
        <w:rPr>
          <w:i/>
          <w:iCs/>
        </w:rPr>
        <w:br/>
        <w:t>И мы сегодня воскресим извне!</w:t>
      </w:r>
      <w:r>
        <w:rPr>
          <w:i/>
          <w:iCs/>
        </w:rPr>
        <w:br/>
        <w:t>Всё то, что спрятано порой годами,</w:t>
      </w:r>
      <w:r>
        <w:rPr>
          <w:i/>
          <w:iCs/>
        </w:rPr>
        <w:br/>
        <w:t>Про что любой в толпе не замечал,</w:t>
      </w:r>
      <w:r>
        <w:rPr>
          <w:i/>
          <w:iCs/>
        </w:rPr>
        <w:br/>
        <w:t>Архивов факты, пусть воскреснут перед нами,</w:t>
      </w:r>
      <w:r>
        <w:rPr>
          <w:i/>
          <w:iCs/>
        </w:rPr>
        <w:br/>
        <w:t xml:space="preserve">Чтоб каждый их бы после увидал! </w:t>
      </w:r>
    </w:p>
    <w:p w:rsidR="00EC26B1" w:rsidRDefault="00EC26B1" w:rsidP="00EC26B1">
      <w:pPr>
        <w:pStyle w:val="a3"/>
        <w:jc w:val="both"/>
      </w:pPr>
      <w:r>
        <w:rPr>
          <w:i/>
          <w:iCs/>
        </w:rPr>
        <w:br/>
      </w:r>
      <w:r>
        <w:t>Архивные документы – это неумирающая память истории. Поэтому с зарождением на Руси государственности появилась необходимость хранения документов. Архивов тогда еще не было, и документы хранились вместе с казной и другими сокровищами монархов.</w:t>
      </w:r>
    </w:p>
    <w:p w:rsidR="00EC26B1" w:rsidRDefault="00EC26B1" w:rsidP="00EC26B1">
      <w:pPr>
        <w:pStyle w:val="a3"/>
        <w:jc w:val="both"/>
      </w:pPr>
      <w:r>
        <w:t xml:space="preserve">Становлению единой государственной архивной службой России положил декрет от 1 июня 1918 года «О реорганизации и централизации архивного дела в РСФСР». Данным декретом было создано Главное управление архивным делом (ГУАД) или </w:t>
      </w:r>
      <w:proofErr w:type="spellStart"/>
      <w:r>
        <w:t>Главархив</w:t>
      </w:r>
      <w:proofErr w:type="spellEnd"/>
      <w:r>
        <w:t>.</w:t>
      </w:r>
    </w:p>
    <w:p w:rsidR="00EC26B1" w:rsidRDefault="00EC26B1" w:rsidP="00EC26B1">
      <w:pPr>
        <w:pStyle w:val="a3"/>
        <w:jc w:val="both"/>
      </w:pPr>
      <w:bookmarkStart w:id="0" w:name="_GoBack"/>
      <w:r>
        <w:rPr>
          <w:b/>
          <w:bCs/>
          <w:i/>
          <w:iCs/>
          <w:noProof/>
        </w:rPr>
        <w:drawing>
          <wp:inline distT="0" distB="0" distL="0" distR="0">
            <wp:extent cx="5857875" cy="4438650"/>
            <wp:effectExtent l="0" t="0" r="9525" b="0"/>
            <wp:docPr id="7" name="Рисунок 7" descr="http://www.kinel.ru/images/arxivotd/arxotd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inel.ru/images/arxivotd/arxotd_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i/>
          <w:iCs/>
        </w:rPr>
        <w:t>В этом году мы отмечаем 100-летие архивной службы в России</w:t>
      </w:r>
      <w:r>
        <w:rPr>
          <w:i/>
          <w:iCs/>
        </w:rPr>
        <w:t>.</w:t>
      </w:r>
      <w:r>
        <w:t xml:space="preserve"> Сначала </w:t>
      </w:r>
      <w:proofErr w:type="spellStart"/>
      <w:r>
        <w:t>Главархив</w:t>
      </w:r>
      <w:proofErr w:type="spellEnd"/>
      <w:r>
        <w:t xml:space="preserve"> находился в Петрограде, где были сосредоточены документы центральных учреждений старой России, а в июле 1918 г. вопрос о его размещении был решен в пользу Москвы. Основной функцией </w:t>
      </w:r>
      <w:proofErr w:type="spellStart"/>
      <w:r>
        <w:t>Главархива</w:t>
      </w:r>
      <w:proofErr w:type="spellEnd"/>
      <w:r>
        <w:t xml:space="preserve"> было управление Единым государственным архивным фондом (ЕГАФ), формирование и проведение единой архивной политики.</w:t>
      </w:r>
    </w:p>
    <w:p w:rsidR="00EC26B1" w:rsidRDefault="00EC26B1" w:rsidP="00EC26B1">
      <w:pPr>
        <w:pStyle w:val="a3"/>
        <w:jc w:val="both"/>
      </w:pPr>
      <w:r>
        <w:t>В 1929 году происходит разграничение архивов Российской Федерации и центральных государственных архивов всесоюзного значения.</w:t>
      </w:r>
    </w:p>
    <w:p w:rsidR="00EC26B1" w:rsidRDefault="00EC26B1" w:rsidP="00EC26B1">
      <w:pPr>
        <w:pStyle w:val="a3"/>
        <w:jc w:val="both"/>
      </w:pPr>
      <w:r>
        <w:lastRenderedPageBreak/>
        <w:t xml:space="preserve">К 1935 году в ведении ЦАУ СССР находилось 5 союзных архивов: Центральный архив Красной Армии (ЦАКА), Военно-исторический архив (ВИА), Центральный </w:t>
      </w:r>
      <w:proofErr w:type="spellStart"/>
      <w:r>
        <w:t>фотофонокиноархив</w:t>
      </w:r>
      <w:proofErr w:type="spellEnd"/>
      <w:r>
        <w:t xml:space="preserve"> (ЦФФКА), Центральный архив профдвижения (ЦАПД), Центральный архив внешней политики (ЦАВП).</w:t>
      </w:r>
    </w:p>
    <w:p w:rsidR="00EC26B1" w:rsidRDefault="00EC26B1" w:rsidP="00EC26B1">
      <w:pPr>
        <w:pStyle w:val="a3"/>
        <w:jc w:val="both"/>
      </w:pPr>
      <w:r>
        <w:t>С 1938 по 1960 годы органы управления архивным делом потеряли свою самостоятельность, т.к. государственные архивы были переданы в ведение НКВД СССР, а позже в МВД СССР.</w:t>
      </w:r>
    </w:p>
    <w:p w:rsidR="00EC26B1" w:rsidRDefault="00EC26B1" w:rsidP="00EC26B1">
      <w:pPr>
        <w:pStyle w:val="a3"/>
        <w:jc w:val="both"/>
      </w:pPr>
      <w:r>
        <w:t>В 1960 году статус главного органа управления архивным делом был вновь повышен и стал называться Главное архивное управление при Совете Министров СССР.</w:t>
      </w:r>
    </w:p>
    <w:p w:rsidR="00EC26B1" w:rsidRDefault="00EC26B1" w:rsidP="00EC26B1">
      <w:pPr>
        <w:pStyle w:val="a3"/>
        <w:jc w:val="both"/>
      </w:pPr>
      <w:r>
        <w:t>В связи с распадом СССР с января 1992 года происходит реорганизация сети государственных архивов России. Президентский указ (подписанный Б.Н. Ельциным 30 сентября 1992 г.) преобразовывал Роскомархив в Государственную архивную службу России (</w:t>
      </w:r>
      <w:proofErr w:type="spellStart"/>
      <w:r>
        <w:t>Росархив</w:t>
      </w:r>
      <w:proofErr w:type="spellEnd"/>
      <w:r>
        <w:t>). Новым Указом в марте 1999 г. сеть федеральных архивов была вновь реорганизована. В настоящее время она состоит из четырнадцати архивов.</w:t>
      </w:r>
    </w:p>
    <w:p w:rsidR="00EC26B1" w:rsidRDefault="00EC26B1" w:rsidP="00EC26B1">
      <w:pPr>
        <w:pStyle w:val="a3"/>
        <w:jc w:val="both"/>
      </w:pPr>
      <w:r>
        <w:t>В марте 1999 г. сеть федеральных архивов была вновь реорганизована. В настоящее время она состоит из четырнадцати архивов.</w:t>
      </w:r>
    </w:p>
    <w:p w:rsidR="00EC26B1" w:rsidRDefault="00EC26B1" w:rsidP="00EC26B1">
      <w:pPr>
        <w:pStyle w:val="a3"/>
        <w:jc w:val="both"/>
      </w:pPr>
      <w:r>
        <w:t>Руководство деятельностью Федерального архивного агентства осуществляет Президент Российской Федерации.</w:t>
      </w:r>
    </w:p>
    <w:p w:rsidR="00EC26B1" w:rsidRDefault="00EC26B1" w:rsidP="00EC26B1">
      <w:pPr>
        <w:pStyle w:val="a3"/>
        <w:jc w:val="both"/>
      </w:pPr>
      <w:r>
        <w:rPr>
          <w:rStyle w:val="a5"/>
          <w:b/>
          <w:bCs/>
        </w:rPr>
        <w:t>История архивного дела в России</w:t>
      </w:r>
      <w:r>
        <w:t xml:space="preserve"> </w:t>
      </w:r>
      <w:hyperlink r:id="rId7" w:history="1">
        <w:r>
          <w:rPr>
            <w:rStyle w:val="a4"/>
            <w:color w:val="0000FF"/>
            <w:u w:val="single"/>
          </w:rPr>
          <w:t>(прилагается)</w:t>
        </w:r>
      </w:hyperlink>
    </w:p>
    <w:p w:rsidR="00EC26B1" w:rsidRDefault="00EC26B1" w:rsidP="00EC26B1">
      <w:r>
        <w:pict>
          <v:rect id="_x0000_i1036" style="width:0;height:1.5pt" o:hralign="center" o:hrstd="t" o:hr="t" fillcolor="#a0a0a0" stroked="f"/>
        </w:pict>
      </w:r>
    </w:p>
    <w:p w:rsidR="00EC26B1" w:rsidRDefault="00EC26B1" w:rsidP="00EC26B1">
      <w:pPr>
        <w:pStyle w:val="a3"/>
        <w:jc w:val="center"/>
      </w:pPr>
      <w:r>
        <w:rPr>
          <w:b/>
          <w:bCs/>
          <w:i/>
          <w:iCs/>
        </w:rPr>
        <w:t xml:space="preserve">История Архивного отдела администрации </w:t>
      </w:r>
      <w:r>
        <w:rPr>
          <w:b/>
          <w:bCs/>
          <w:i/>
          <w:iCs/>
        </w:rPr>
        <w:br/>
        <w:t xml:space="preserve">муниципального района </w:t>
      </w:r>
      <w:proofErr w:type="spellStart"/>
      <w:r>
        <w:rPr>
          <w:b/>
          <w:bCs/>
          <w:i/>
          <w:iCs/>
        </w:rPr>
        <w:t>Кинельский</w:t>
      </w:r>
      <w:proofErr w:type="spellEnd"/>
    </w:p>
    <w:p w:rsidR="00EC26B1" w:rsidRDefault="00EC26B1" w:rsidP="00EC26B1">
      <w:pPr>
        <w:pStyle w:val="a3"/>
        <w:jc w:val="both"/>
      </w:pPr>
      <w:r>
        <w:rPr>
          <w:b/>
          <w:bCs/>
          <w:i/>
          <w:iCs/>
        </w:rPr>
        <w:t> </w:t>
      </w:r>
      <w:r>
        <w:t xml:space="preserve">Постановлением президиума </w:t>
      </w:r>
      <w:proofErr w:type="spellStart"/>
      <w:r>
        <w:t>Кинельского</w:t>
      </w:r>
      <w:proofErr w:type="spellEnd"/>
      <w:r>
        <w:t xml:space="preserve"> райисполкома </w:t>
      </w:r>
      <w:proofErr w:type="spellStart"/>
      <w:r>
        <w:t>Средневолжского</w:t>
      </w:r>
      <w:proofErr w:type="spellEnd"/>
      <w:r>
        <w:t xml:space="preserve"> края от 9 июня 1933 года «Об упорядочении архивного дела, концентрации учета архивных материалов и выделения архивной макулатуры по району» было принято решение о возложении обязанностей и ответственности за архив на одного из работников исполкома, а также о рассмотрении вопроса о выделении штатной должности архивариуса. Однако архив продолжал существовать номинально: приспособленное помещение выделено, но никакой работы не проводилось. Штатный работник архива </w:t>
      </w:r>
      <w:proofErr w:type="spellStart"/>
      <w:r>
        <w:t>Кинельского</w:t>
      </w:r>
      <w:proofErr w:type="spellEnd"/>
      <w:r>
        <w:t xml:space="preserve"> райисполкома был принят с 23 февраля 1935 года. Эту дату можно считать началом фактической деятельности </w:t>
      </w:r>
      <w:proofErr w:type="spellStart"/>
      <w:r>
        <w:t>Кинельского</w:t>
      </w:r>
      <w:proofErr w:type="spellEnd"/>
      <w:r>
        <w:t xml:space="preserve"> райисполкома.</w:t>
      </w:r>
    </w:p>
    <w:p w:rsidR="00EC26B1" w:rsidRDefault="00EC26B1" w:rsidP="00EC26B1">
      <w:pPr>
        <w:pStyle w:val="a3"/>
        <w:jc w:val="both"/>
      </w:pPr>
      <w:r>
        <w:t xml:space="preserve">Решением </w:t>
      </w:r>
      <w:proofErr w:type="spellStart"/>
      <w:r>
        <w:t>Кинельского</w:t>
      </w:r>
      <w:proofErr w:type="spellEnd"/>
      <w:r>
        <w:t xml:space="preserve"> районного Совета народных депутатов от 20 декабря 1989 года № 210 районный архив реорганизован в архивный отдел </w:t>
      </w:r>
      <w:proofErr w:type="spellStart"/>
      <w:r>
        <w:t>Кинельского</w:t>
      </w:r>
      <w:proofErr w:type="spellEnd"/>
      <w:r>
        <w:t xml:space="preserve"> райисполкома. До 1995 года в списке источников комплектования архивного отдела администрации </w:t>
      </w:r>
      <w:r>
        <w:rPr>
          <w:noProof/>
        </w:rPr>
        <w:drawing>
          <wp:inline distT="0" distB="0" distL="0" distR="0">
            <wp:extent cx="1076325" cy="1428750"/>
            <wp:effectExtent l="0" t="0" r="9525" b="0"/>
            <wp:docPr id="6" name="Рисунок 6" descr="http://www.kinel.ru/images/arxivotd/arxotd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inel.ru/images/arxivotd/arxotd_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Кинельского</w:t>
      </w:r>
      <w:proofErr w:type="spellEnd"/>
      <w:r>
        <w:t xml:space="preserve"> района находились как районные организации, </w:t>
      </w:r>
      <w:r>
        <w:lastRenderedPageBreak/>
        <w:t xml:space="preserve">так и организации города </w:t>
      </w:r>
      <w:proofErr w:type="spellStart"/>
      <w:r>
        <w:t>Кинеля</w:t>
      </w:r>
      <w:proofErr w:type="spellEnd"/>
      <w:r>
        <w:t xml:space="preserve">. В сентябре 1995 года создан архивный отдел администрации города </w:t>
      </w:r>
      <w:proofErr w:type="spellStart"/>
      <w:r>
        <w:t>Кинеля</w:t>
      </w:r>
      <w:proofErr w:type="spellEnd"/>
      <w:r>
        <w:t>, куда и были переданы документы фондов городского профиля.</w:t>
      </w:r>
      <w:r>
        <w:rPr>
          <w:i/>
          <w:iCs/>
        </w:rPr>
        <w:t xml:space="preserve"> </w:t>
      </w:r>
    </w:p>
    <w:p w:rsidR="00EC26B1" w:rsidRDefault="00EC26B1" w:rsidP="00EC26B1">
      <w:pPr>
        <w:pStyle w:val="a3"/>
        <w:jc w:val="both"/>
      </w:pPr>
      <w:r>
        <w:t xml:space="preserve">В соответствии с постановлением главы администрации </w:t>
      </w:r>
      <w:proofErr w:type="spellStart"/>
      <w:r>
        <w:t>Кинельского</w:t>
      </w:r>
      <w:proofErr w:type="spellEnd"/>
      <w:r>
        <w:t xml:space="preserve"> района от 28 февраля 1992 года № 71 «О формировании структуры и штатов администрации </w:t>
      </w:r>
      <w:proofErr w:type="spellStart"/>
      <w:r>
        <w:t>Кинельского</w:t>
      </w:r>
      <w:proofErr w:type="spellEnd"/>
      <w:r>
        <w:t xml:space="preserve"> района» архивный отдел райисполкома преобразован в </w:t>
      </w:r>
      <w:proofErr w:type="spellStart"/>
      <w:proofErr w:type="gramStart"/>
      <w:r>
        <w:t>архивн</w:t>
      </w:r>
      <w:proofErr w:type="spellEnd"/>
      <w:r>
        <w:rPr>
          <w:noProof/>
        </w:rPr>
        <w:drawing>
          <wp:inline distT="0" distB="0" distL="0" distR="0">
            <wp:extent cx="1076325" cy="1428750"/>
            <wp:effectExtent l="0" t="0" r="9525" b="0"/>
            <wp:docPr id="5" name="Рисунок 5" descr="http://www.kinel.ru/images/arxivotd/arxotd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inel.ru/images/arxivotd/arxotd_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ый</w:t>
      </w:r>
      <w:proofErr w:type="spellEnd"/>
      <w:proofErr w:type="gramEnd"/>
      <w:r>
        <w:t xml:space="preserve"> отдел администрации </w:t>
      </w:r>
      <w:proofErr w:type="spellStart"/>
      <w:r>
        <w:t>Кинельского</w:t>
      </w:r>
      <w:proofErr w:type="spellEnd"/>
      <w:r>
        <w:t xml:space="preserve"> района. </w:t>
      </w:r>
    </w:p>
    <w:p w:rsidR="00EC26B1" w:rsidRDefault="00EC26B1" w:rsidP="00EC26B1">
      <w:pPr>
        <w:pStyle w:val="a3"/>
        <w:jc w:val="both"/>
      </w:pPr>
      <w:proofErr w:type="spellStart"/>
      <w:r>
        <w:t>Кинельская</w:t>
      </w:r>
      <w:proofErr w:type="spellEnd"/>
      <w:r>
        <w:t xml:space="preserve"> районная дума на основании Федерального Закона РФ «Об общих принципах организации местного самоуправления в Российской Федерации» № 131-ФЗ своим решением от 21 октября 2005 года приняла новый Устав района, и архивный отдел получил название архивного отдела администрации 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области. </w:t>
      </w:r>
    </w:p>
    <w:p w:rsidR="00EC26B1" w:rsidRDefault="00EC26B1" w:rsidP="00EC26B1">
      <w:pPr>
        <w:pStyle w:val="a3"/>
        <w:jc w:val="both"/>
      </w:pPr>
      <w:r>
        <w:t xml:space="preserve">По состоянию на 2018 год в архивном отделе хранится 130 фонда, 23605 ед. хранения за 1930 – 2015 гг., в том числе 17335 единиц хранения управленческой документации, 6185 ед. хранения по личному составу, 230 ед. хранения фотодокументов, 72 ед. хранения документы личного происхождения. Документы постоянного хранения </w:t>
      </w:r>
      <w:proofErr w:type="spellStart"/>
      <w:r>
        <w:t>Кинельского</w:t>
      </w:r>
      <w:proofErr w:type="spellEnd"/>
      <w:r>
        <w:t xml:space="preserve"> райисполкома, его отделов, сельских советов, ряда колхозов, совхозов и некоторых других фондов за 30-е – 50-е годы прошлого века были переданы на хранение в ГАСО (ныне ГБУ </w:t>
      </w:r>
      <w:proofErr w:type="gramStart"/>
      <w:r>
        <w:t>СО</w:t>
      </w:r>
      <w:proofErr w:type="gramEnd"/>
      <w:r>
        <w:t xml:space="preserve"> «Центральный Государственный архив Самарской области»).</w:t>
      </w:r>
      <w:r>
        <w:rPr>
          <w:b/>
          <w:bCs/>
        </w:rPr>
        <w:t>  </w:t>
      </w:r>
    </w:p>
    <w:p w:rsidR="00EC26B1" w:rsidRDefault="00EC26B1" w:rsidP="00EC26B1">
      <w:r>
        <w:pict>
          <v:rect id="_x0000_i1039" style="width:0;height:1.5pt" o:hralign="center" o:hrstd="t" o:hr="t" fillcolor="#a0a0a0" stroked="f"/>
        </w:pict>
      </w:r>
    </w:p>
    <w:p w:rsidR="00EC26B1" w:rsidRDefault="00EC26B1" w:rsidP="00EC26B1">
      <w:pPr>
        <w:pStyle w:val="a3"/>
        <w:jc w:val="both"/>
      </w:pPr>
      <w:r>
        <w:t>В архивном отделе хранятся годовые подписки газет: «Путь к коммунизму», „</w:t>
      </w:r>
      <w:proofErr w:type="spellStart"/>
      <w:r>
        <w:t>Кинельская</w:t>
      </w:r>
      <w:proofErr w:type="spellEnd"/>
      <w:r>
        <w:t xml:space="preserve"> жизнь“, „Неделя </w:t>
      </w:r>
      <w:proofErr w:type="spellStart"/>
      <w:r>
        <w:t>Кинеля</w:t>
      </w:r>
      <w:proofErr w:type="spellEnd"/>
      <w:r>
        <w:t>“, „Междуречье“ </w:t>
      </w:r>
      <w:hyperlink r:id="rId10" w:history="1">
        <w:r>
          <w:rPr>
            <w:rStyle w:val="a4"/>
            <w:color w:val="0000FF"/>
            <w:u w:val="single"/>
          </w:rPr>
          <w:t xml:space="preserve"> (прилагается)</w:t>
        </w:r>
      </w:hyperlink>
    </w:p>
    <w:p w:rsidR="00EC26B1" w:rsidRDefault="00EC26B1" w:rsidP="00EC26B1">
      <w:pPr>
        <w:pStyle w:val="a3"/>
        <w:jc w:val="both"/>
      </w:pPr>
      <w:r>
        <w:t xml:space="preserve">Архивные издания </w:t>
      </w:r>
      <w:hyperlink r:id="rId11" w:history="1">
        <w:r>
          <w:rPr>
            <w:rStyle w:val="a4"/>
            <w:color w:val="0000FF"/>
            <w:u w:val="single"/>
          </w:rPr>
          <w:t>(прилагается)</w:t>
        </w:r>
      </w:hyperlink>
    </w:p>
    <w:p w:rsidR="00EC26B1" w:rsidRDefault="00EC26B1" w:rsidP="00EC26B1">
      <w:r>
        <w:pict>
          <v:rect id="_x0000_i1040" style="width:0;height:1.5pt" o:hralign="center" o:hrstd="t" o:hr="t" fillcolor="#a0a0a0" stroked="f"/>
        </w:pict>
      </w:r>
    </w:p>
    <w:p w:rsidR="00EC26B1" w:rsidRDefault="00EC26B1" w:rsidP="00EC26B1">
      <w:pPr>
        <w:pStyle w:val="a3"/>
        <w:jc w:val="both"/>
      </w:pPr>
      <w:proofErr w:type="spellStart"/>
      <w:r>
        <w:t>Фотофонд</w:t>
      </w:r>
      <w:proofErr w:type="spellEnd"/>
      <w:r>
        <w:t xml:space="preserve"> муниципального архива включает 230 единиц хранения отражающих наиболее знаменательные события в жизни района, в том числе </w:t>
      </w:r>
      <w:proofErr w:type="gramStart"/>
      <w:r>
        <w:t>фотодокументы</w:t>
      </w:r>
      <w:proofErr w:type="gramEnd"/>
      <w:r>
        <w:t xml:space="preserve"> переданные на хранение краеведами и участниками Великой Отечественной войны </w:t>
      </w:r>
      <w:hyperlink r:id="rId12" w:history="1">
        <w:r>
          <w:rPr>
            <w:rStyle w:val="a6"/>
            <w:b/>
            <w:bCs/>
          </w:rPr>
          <w:t>(прилагается)</w:t>
        </w:r>
      </w:hyperlink>
    </w:p>
    <w:p w:rsidR="00EC26B1" w:rsidRDefault="00EC26B1" w:rsidP="00EC26B1">
      <w:pPr>
        <w:pStyle w:val="a3"/>
        <w:jc w:val="both"/>
      </w:pPr>
      <w:r>
        <w:t xml:space="preserve">Документы личного происхождения Борис Егорович Юлин </w:t>
      </w:r>
      <w:hyperlink r:id="rId13" w:history="1">
        <w:r>
          <w:rPr>
            <w:rStyle w:val="a4"/>
            <w:color w:val="0000FF"/>
            <w:u w:val="single"/>
          </w:rPr>
          <w:t>(прилагается)</w:t>
        </w:r>
      </w:hyperlink>
    </w:p>
    <w:p w:rsidR="00EC26B1" w:rsidRDefault="00EC26B1" w:rsidP="00EC26B1">
      <w:r>
        <w:pict>
          <v:rect id="_x0000_i1041" style="width:0;height:1.5pt" o:hralign="center" o:hrstd="t" o:hr="t" fillcolor="#a0a0a0" stroked="f"/>
        </w:pict>
      </w:r>
    </w:p>
    <w:p w:rsidR="00EC26B1" w:rsidRDefault="00EC26B1" w:rsidP="00EC26B1">
      <w:pPr>
        <w:pStyle w:val="a3"/>
        <w:jc w:val="both"/>
      </w:pPr>
      <w:r>
        <w:t xml:space="preserve"> Указ президиума Верховного Совета РСФСР №615/5 от 16.03.1944 г. «О преобразовании рабочего посёлка </w:t>
      </w:r>
      <w:proofErr w:type="spellStart"/>
      <w:r>
        <w:t>Кинель</w:t>
      </w:r>
      <w:proofErr w:type="spellEnd"/>
      <w:r>
        <w:t xml:space="preserve"> в город» </w:t>
      </w:r>
      <w:hyperlink r:id="rId14" w:history="1">
        <w:r>
          <w:rPr>
            <w:rStyle w:val="a4"/>
            <w:color w:val="0000FF"/>
            <w:u w:val="single"/>
          </w:rPr>
          <w:t>(прилагается)</w:t>
        </w:r>
      </w:hyperlink>
    </w:p>
    <w:p w:rsidR="00EC26B1" w:rsidRDefault="00EC26B1" w:rsidP="00EC26B1">
      <w:pPr>
        <w:pStyle w:val="a3"/>
        <w:jc w:val="both"/>
      </w:pPr>
      <w:r>
        <w:lastRenderedPageBreak/>
        <w:t> Указ президиума Верховного Совета РСФСР №744/54 от 28.07.1955 г. «О переименовании села Моча и </w:t>
      </w:r>
      <w:proofErr w:type="spellStart"/>
      <w:r>
        <w:t>Мочинского</w:t>
      </w:r>
      <w:proofErr w:type="spellEnd"/>
      <w:r>
        <w:t xml:space="preserve"> сельского Совета в село Красносамарское» </w:t>
      </w:r>
      <w:hyperlink r:id="rId15" w:history="1">
        <w:r>
          <w:rPr>
            <w:rStyle w:val="a4"/>
            <w:color w:val="0000FF"/>
            <w:u w:val="single"/>
          </w:rPr>
          <w:t>(прилагается)</w:t>
        </w:r>
      </w:hyperlink>
    </w:p>
    <w:p w:rsidR="00EC26B1" w:rsidRDefault="00EC26B1" w:rsidP="00EC26B1">
      <w:pPr>
        <w:pStyle w:val="a3"/>
        <w:jc w:val="both"/>
      </w:pPr>
      <w:r>
        <w:t xml:space="preserve"> Указ президиума Верховного Совета РСФСР №714/6 от 12.04.1956 г. «О передаче </w:t>
      </w:r>
      <w:proofErr w:type="spellStart"/>
      <w:r>
        <w:t>Спиридоновского</w:t>
      </w:r>
      <w:proofErr w:type="spellEnd"/>
      <w:r>
        <w:t xml:space="preserve"> сельского Совета </w:t>
      </w:r>
      <w:proofErr w:type="spellStart"/>
      <w:r>
        <w:t>Утевского</w:t>
      </w:r>
      <w:proofErr w:type="spellEnd"/>
      <w:r>
        <w:t xml:space="preserve"> района в состав </w:t>
      </w:r>
      <w:proofErr w:type="spellStart"/>
      <w:r>
        <w:t>Кинельского</w:t>
      </w:r>
      <w:proofErr w:type="spellEnd"/>
      <w:r>
        <w:t xml:space="preserve"> района» </w:t>
      </w:r>
      <w:hyperlink r:id="rId16" w:history="1">
        <w:r>
          <w:rPr>
            <w:rStyle w:val="a4"/>
            <w:color w:val="0000FF"/>
            <w:u w:val="single"/>
          </w:rPr>
          <w:t>(прилагается)</w:t>
        </w:r>
      </w:hyperlink>
      <w:r>
        <w:t> </w:t>
      </w:r>
    </w:p>
    <w:p w:rsidR="00EC26B1" w:rsidRDefault="00EC26B1" w:rsidP="00EC26B1">
      <w:r>
        <w:pict>
          <v:rect id="_x0000_i1042" style="width:0;height:1.5pt" o:hralign="center" o:hrstd="t" o:hr="t" fillcolor="#a0a0a0" stroked="f"/>
        </w:pict>
      </w:r>
    </w:p>
    <w:p w:rsidR="00EC26B1" w:rsidRDefault="00EC26B1" w:rsidP="00EC26B1">
      <w:pPr>
        <w:pStyle w:val="a3"/>
        <w:jc w:val="both"/>
      </w:pPr>
      <w:r>
        <w:t xml:space="preserve"> В архивном отделе хранятся </w:t>
      </w:r>
      <w:proofErr w:type="gramStart"/>
      <w:r>
        <w:t>документы</w:t>
      </w:r>
      <w:proofErr w:type="gramEnd"/>
      <w:r>
        <w:t xml:space="preserve"> напечатанные на плакатных листах, так как в 30-е годы XX-</w:t>
      </w:r>
      <w:proofErr w:type="spellStart"/>
      <w:r>
        <w:t>го</w:t>
      </w:r>
      <w:proofErr w:type="spellEnd"/>
      <w:r>
        <w:t xml:space="preserve"> столетия были трудности с бумагой, например:</w:t>
      </w:r>
    </w:p>
    <w:p w:rsidR="00EC26B1" w:rsidRDefault="00EC26B1" w:rsidP="00EC26B1">
      <w:pPr>
        <w:pStyle w:val="a3"/>
        <w:jc w:val="both"/>
      </w:pPr>
      <w:r>
        <w:t xml:space="preserve">-  Постановление председателя Правления </w:t>
      </w:r>
      <w:proofErr w:type="spellStart"/>
      <w:r>
        <w:t>Краймясомолколхозсоюза</w:t>
      </w:r>
      <w:proofErr w:type="spellEnd"/>
      <w:r>
        <w:t xml:space="preserve"> от 28 мая 1932 года и обратная сторона документа </w:t>
      </w:r>
      <w:hyperlink r:id="rId17" w:history="1">
        <w:r>
          <w:rPr>
            <w:rStyle w:val="a4"/>
            <w:color w:val="0000FF"/>
            <w:u w:val="single"/>
          </w:rPr>
          <w:t>(прилагается)</w:t>
        </w:r>
      </w:hyperlink>
    </w:p>
    <w:p w:rsidR="00EC26B1" w:rsidRDefault="00EC26B1" w:rsidP="00EC26B1">
      <w:pPr>
        <w:pStyle w:val="a3"/>
        <w:jc w:val="both"/>
      </w:pPr>
      <w:r>
        <w:t xml:space="preserve">— Рекомендации председателя Правления </w:t>
      </w:r>
      <w:proofErr w:type="spellStart"/>
      <w:r>
        <w:t>Краймясомолколхозсоюза</w:t>
      </w:r>
      <w:proofErr w:type="spellEnd"/>
      <w:r>
        <w:t xml:space="preserve"> от 28 мая 1932 года о максимальном использовании кредитов и обратная сторона данного документа </w:t>
      </w:r>
      <w:hyperlink r:id="rId18" w:history="1">
        <w:r>
          <w:rPr>
            <w:rStyle w:val="a4"/>
            <w:color w:val="0000FF"/>
            <w:u w:val="single"/>
          </w:rPr>
          <w:t xml:space="preserve"> (прилагается)</w:t>
        </w:r>
      </w:hyperlink>
    </w:p>
    <w:p w:rsidR="00EC26B1" w:rsidRDefault="00EC26B1" w:rsidP="00EC26B1">
      <w:pPr>
        <w:pStyle w:val="z-"/>
      </w:pPr>
      <w:r>
        <w:t>Начало формы</w:t>
      </w:r>
    </w:p>
    <w:p w:rsidR="00EC26B1" w:rsidRDefault="00EC26B1" w:rsidP="00EC26B1"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49.5pt;height:18pt" o:ole="">
            <v:imagedata r:id="rId19" o:title=""/>
          </v:shape>
          <w:control r:id="rId20" w:name="DefaultOcxName" w:shapeid="_x0000_i1058"/>
        </w:object>
      </w:r>
      <w:r>
        <w:object w:dxaOrig="4320" w:dyaOrig="4320">
          <v:shape id="_x0000_i1057" type="#_x0000_t75" style="width:8.25pt;height:8.25pt" o:ole="">
            <v:imagedata r:id="rId21" o:title=""/>
          </v:shape>
          <w:control r:id="rId22" w:name="DefaultOcxName1" w:shapeid="_x0000_i1057"/>
        </w:object>
      </w:r>
    </w:p>
    <w:p w:rsidR="00EC26B1" w:rsidRDefault="00EC26B1" w:rsidP="00EC26B1">
      <w:pPr>
        <w:pStyle w:val="z-1"/>
      </w:pPr>
      <w:r>
        <w:t>Конец формы</w:t>
      </w:r>
    </w:p>
    <w:p w:rsidR="00EC26B1" w:rsidRDefault="00EC26B1" w:rsidP="00EC26B1">
      <w:pPr>
        <w:jc w:val="center"/>
      </w:pPr>
      <w:hyperlink r:id="rId23" w:history="1">
        <w:r>
          <w:rPr>
            <w:rStyle w:val="a6"/>
            <w:b/>
            <w:bCs/>
          </w:rPr>
          <w:t>ДЛЯ СЛАБОВИДЯЩИХ</w:t>
        </w:r>
      </w:hyperlink>
      <w:r>
        <w:t xml:space="preserve"> </w:t>
      </w:r>
    </w:p>
    <w:p w:rsidR="00EC26B1" w:rsidRDefault="00EC26B1" w:rsidP="00EC26B1">
      <w:pPr>
        <w:pStyle w:val="2"/>
      </w:pPr>
      <w:hyperlink r:id="rId24" w:tooltip="Новости" w:history="1">
        <w:r>
          <w:rPr>
            <w:rStyle w:val="a6"/>
          </w:rPr>
          <w:t>Новости</w:t>
        </w:r>
      </w:hyperlink>
    </w:p>
    <w:p w:rsidR="00EC26B1" w:rsidRDefault="00EC26B1" w:rsidP="00EC26B1">
      <w:r>
        <w:t xml:space="preserve">11 апреля 2022г. </w:t>
      </w:r>
    </w:p>
    <w:p w:rsidR="00EC26B1" w:rsidRDefault="00EC26B1" w:rsidP="00EC26B1">
      <w:pPr>
        <w:ind w:left="720"/>
      </w:pPr>
      <w:hyperlink r:id="rId25" w:tooltip="Самые талантливые   и активные" w:history="1">
        <w:r>
          <w:rPr>
            <w:rStyle w:val="a6"/>
          </w:rPr>
          <w:t>Самые талантливые и активные</w:t>
        </w:r>
      </w:hyperlink>
    </w:p>
    <w:p w:rsidR="00EC26B1" w:rsidRDefault="00EC26B1" w:rsidP="00EC26B1">
      <w:r>
        <w:t xml:space="preserve">11 апреля 2022г. </w:t>
      </w:r>
    </w:p>
    <w:p w:rsidR="00EC26B1" w:rsidRDefault="00EC26B1" w:rsidP="00EC26B1">
      <w:pPr>
        <w:ind w:left="720"/>
      </w:pPr>
      <w:hyperlink r:id="rId26" w:tooltip="вниманию жителей" w:history="1">
        <w:r>
          <w:rPr>
            <w:rStyle w:val="a6"/>
          </w:rPr>
          <w:t>вниманию жителей</w:t>
        </w:r>
      </w:hyperlink>
    </w:p>
    <w:p w:rsidR="00EC26B1" w:rsidRDefault="00EC26B1" w:rsidP="00EC26B1">
      <w:r>
        <w:t xml:space="preserve">11 апреля 2022г. </w:t>
      </w:r>
    </w:p>
    <w:p w:rsidR="00EC26B1" w:rsidRDefault="00EC26B1" w:rsidP="00EC26B1">
      <w:pPr>
        <w:ind w:left="720"/>
      </w:pPr>
      <w:hyperlink r:id="rId27" w:tooltip="Встречи с населением продолжаются" w:history="1">
        <w:r>
          <w:rPr>
            <w:rStyle w:val="a6"/>
          </w:rPr>
          <w:t>Встречи с населением продолжаются</w:t>
        </w:r>
      </w:hyperlink>
    </w:p>
    <w:p w:rsidR="00EC26B1" w:rsidRDefault="00EC26B1" w:rsidP="00EC26B1">
      <w:r>
        <w:t xml:space="preserve">11 апреля 2022г. </w:t>
      </w:r>
    </w:p>
    <w:p w:rsidR="00EC26B1" w:rsidRDefault="00EC26B1" w:rsidP="00EC26B1">
      <w:pPr>
        <w:ind w:left="720"/>
      </w:pPr>
      <w:hyperlink r:id="rId28" w:tooltip="Ради здоровья людей и животных" w:history="1">
        <w:r>
          <w:rPr>
            <w:rStyle w:val="a6"/>
          </w:rPr>
          <w:t>Ради здоровья людей и животных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Выявление правообладателей ранее учтенных объектов недвижимости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Градостроительство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Платёжные реквизиты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9" w:tooltip="Предоставление земельных участков" w:history="1">
        <w:r>
          <w:rPr>
            <w:rStyle w:val="a6"/>
          </w:rPr>
          <w:t>Предоставление земельных участков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0" w:tooltip="Схема размещения рекламных конструкций" w:history="1">
        <w:r>
          <w:rPr>
            <w:rStyle w:val="a6"/>
          </w:rPr>
          <w:t>Схема размещения рекламных конструкций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1" w:tooltip="Установление публичных сервитутов" w:history="1">
        <w:r>
          <w:rPr>
            <w:rStyle w:val="a6"/>
          </w:rPr>
          <w:t>Установление публичных сервитутов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Обращения граждан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2" w:tooltip="Обзор обращений граждан сельскими поселениями" w:history="1">
        <w:r>
          <w:rPr>
            <w:rStyle w:val="a6"/>
          </w:rPr>
          <w:t>Обзор обращений граждан сельскими поселениями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3" w:tooltip="Муниципальные задания" w:history="1">
        <w:r>
          <w:rPr>
            <w:rStyle w:val="a6"/>
          </w:rPr>
          <w:t>Муниципальные задания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Комитет по управлению муниципальным имуществом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4" w:tooltip="Муниципальные услуги и функции" w:history="1">
        <w:r>
          <w:rPr>
            <w:rStyle w:val="a6"/>
          </w:rPr>
          <w:t>Муниципальные услуги и функции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5" w:tooltip="Расписание общественного транспорта" w:history="1">
        <w:r>
          <w:rPr>
            <w:rStyle w:val="a6"/>
          </w:rPr>
          <w:t>Расписание общественного транспорта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Мониторинг цен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Размещение нестационарной торговли</w:t>
      </w:r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6" w:tooltip="Информация о наличии невостребованных долей" w:history="1">
        <w:r>
          <w:rPr>
            <w:rStyle w:val="a6"/>
          </w:rPr>
          <w:t>Информация о наличии невостребованных долей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37" w:tooltip="Помощь бизнесу" w:history="1">
        <w:r>
          <w:rPr>
            <w:rStyle w:val="a6"/>
          </w:rPr>
          <w:t>Помощь бизнесу</w:t>
        </w:r>
      </w:hyperlink>
    </w:p>
    <w:p w:rsidR="00EC26B1" w:rsidRDefault="00EC26B1" w:rsidP="00EC26B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Имущественная поддержка</w:t>
      </w:r>
    </w:p>
    <w:p w:rsidR="00EC26B1" w:rsidRDefault="00EC26B1" w:rsidP="00EC26B1">
      <w:pPr>
        <w:pStyle w:val="a3"/>
        <w:jc w:val="center"/>
      </w:pP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Официальный интернет-портал правовой информации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фициальный интернет-портал правовой информации" href="http://pravo.gov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C26B1" w:rsidRDefault="00EC26B1" w:rsidP="00EC26B1">
      <w:pPr>
        <w:pStyle w:val="2"/>
        <w:jc w:val="center"/>
      </w:pPr>
      <w:hyperlink r:id="rId39" w:tooltip="Актуальная информация для субъектов предпринимательства" w:history="1">
        <w:r>
          <w:rPr>
            <w:rStyle w:val="a6"/>
          </w:rPr>
          <w:t>Актуальная информация для субъектов предпринимательства</w:t>
        </w:r>
      </w:hyperlink>
    </w:p>
    <w:p w:rsidR="00EC26B1" w:rsidRDefault="00EC26B1" w:rsidP="00EC26B1">
      <w:pPr>
        <w:pStyle w:val="4"/>
        <w:jc w:val="center"/>
      </w:pPr>
      <w:r>
        <w:t>Архив новостей: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84"/>
        <w:gridCol w:w="295"/>
        <w:gridCol w:w="284"/>
        <w:gridCol w:w="285"/>
        <w:gridCol w:w="294"/>
        <w:gridCol w:w="299"/>
      </w:tblGrid>
      <w:tr w:rsidR="00EC26B1" w:rsidTr="00EC26B1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C26B1" w:rsidRDefault="00EC26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Вс</w:t>
            </w:r>
            <w:proofErr w:type="spellEnd"/>
          </w:p>
        </w:tc>
      </w:tr>
      <w:tr w:rsidR="00EC26B1" w:rsidTr="00EC26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EC26B1" w:rsidTr="00EC26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hyperlink r:id="rId40" w:history="1">
              <w:r>
                <w:rPr>
                  <w:rStyle w:val="a6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10</w:t>
            </w:r>
          </w:p>
        </w:tc>
      </w:tr>
      <w:tr w:rsidR="00EC26B1" w:rsidTr="00EC26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hyperlink r:id="rId41" w:history="1">
              <w:r>
                <w:rPr>
                  <w:rStyle w:val="a6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17</w:t>
            </w:r>
          </w:p>
        </w:tc>
      </w:tr>
      <w:tr w:rsidR="00EC26B1" w:rsidTr="00EC26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EC26B1" w:rsidTr="00EC26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EC26B1" w:rsidRDefault="00EC26B1">
            <w:pPr>
              <w:rPr>
                <w:sz w:val="24"/>
                <w:szCs w:val="24"/>
              </w:rPr>
            </w:pPr>
          </w:p>
        </w:tc>
      </w:tr>
    </w:tbl>
    <w:p w:rsidR="00C6496C" w:rsidRDefault="00C6496C"/>
    <w:sectPr w:rsidR="00C6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473A"/>
    <w:multiLevelType w:val="multilevel"/>
    <w:tmpl w:val="7DB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43"/>
    <w:rsid w:val="00B12743"/>
    <w:rsid w:val="00C6496C"/>
    <w:rsid w:val="00E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C2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743"/>
    <w:rPr>
      <w:b/>
      <w:bCs/>
    </w:rPr>
  </w:style>
  <w:style w:type="character" w:styleId="a5">
    <w:name w:val="Emphasis"/>
    <w:basedOn w:val="a0"/>
    <w:uiPriority w:val="20"/>
    <w:qFormat/>
    <w:rsid w:val="00B12743"/>
    <w:rPr>
      <w:i/>
      <w:iCs/>
    </w:rPr>
  </w:style>
  <w:style w:type="character" w:styleId="a6">
    <w:name w:val="Hyperlink"/>
    <w:basedOn w:val="a0"/>
    <w:uiPriority w:val="99"/>
    <w:semiHidden/>
    <w:unhideWhenUsed/>
    <w:rsid w:val="00B127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2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26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26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26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26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C2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743"/>
    <w:rPr>
      <w:b/>
      <w:bCs/>
    </w:rPr>
  </w:style>
  <w:style w:type="character" w:styleId="a5">
    <w:name w:val="Emphasis"/>
    <w:basedOn w:val="a0"/>
    <w:uiPriority w:val="20"/>
    <w:qFormat/>
    <w:rsid w:val="00B12743"/>
    <w:rPr>
      <w:i/>
      <w:iCs/>
    </w:rPr>
  </w:style>
  <w:style w:type="character" w:styleId="a6">
    <w:name w:val="Hyperlink"/>
    <w:basedOn w:val="a0"/>
    <w:uiPriority w:val="99"/>
    <w:semiHidden/>
    <w:unhideWhenUsed/>
    <w:rsid w:val="00B127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2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26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26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26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26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nel.ru/files/arx_5.pdf" TargetMode="External"/><Relationship Id="rId18" Type="http://schemas.openxmlformats.org/officeDocument/2006/relationships/hyperlink" Target="http://www.kinel.ru/files/arx_10.pdf" TargetMode="External"/><Relationship Id="rId26" Type="http://schemas.openxmlformats.org/officeDocument/2006/relationships/hyperlink" Target="http://www.kinel.ru/novosti/10497/" TargetMode="External"/><Relationship Id="rId39" Type="http://schemas.openxmlformats.org/officeDocument/2006/relationships/hyperlink" Target="http://www.kinel.ru/aktualnaja-informatsija-dlja-subektov-predprinimatelstva/" TargetMode="External"/><Relationship Id="rId21" Type="http://schemas.openxmlformats.org/officeDocument/2006/relationships/image" Target="media/image5.wmf"/><Relationship Id="rId34" Type="http://schemas.openxmlformats.org/officeDocument/2006/relationships/hyperlink" Target="http://www.kinel.ru/munitsipalnye-uslugi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kinel.ru/files/arx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el.ru/files/arx_8.pdf" TargetMode="External"/><Relationship Id="rId20" Type="http://schemas.openxmlformats.org/officeDocument/2006/relationships/control" Target="activeX/activeX1.xml"/><Relationship Id="rId29" Type="http://schemas.openxmlformats.org/officeDocument/2006/relationships/hyperlink" Target="http://www.kinel.ru/predostavlenie-zemelnykh-uchastkov/" TargetMode="External"/><Relationship Id="rId41" Type="http://schemas.openxmlformats.org/officeDocument/2006/relationships/hyperlink" Target="http://www.kinel.ru/novosti/?day=11&amp;month=04&amp;year=20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inel.ru/files/arx_2.pdf" TargetMode="External"/><Relationship Id="rId24" Type="http://schemas.openxmlformats.org/officeDocument/2006/relationships/hyperlink" Target="http://www.kinel.ru/novosti/" TargetMode="External"/><Relationship Id="rId32" Type="http://schemas.openxmlformats.org/officeDocument/2006/relationships/hyperlink" Target="http://www.kinel.ru/obzor-obrashhenijj-grazhdan-selskimi-poselenijami/" TargetMode="External"/><Relationship Id="rId37" Type="http://schemas.openxmlformats.org/officeDocument/2006/relationships/hyperlink" Target="https://mybiz63.ru/" TargetMode="External"/><Relationship Id="rId40" Type="http://schemas.openxmlformats.org/officeDocument/2006/relationships/hyperlink" Target="http://www.kinel.ru/novosti/?day=04&amp;month=04&amp;year=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el.ru/files/arx_7.pdf" TargetMode="External"/><Relationship Id="rId23" Type="http://schemas.openxmlformats.org/officeDocument/2006/relationships/hyperlink" Target="http://www.kinel.ru/arkhivnyjj-otdel/k-100-letiju-arkhivnojj-sluzhby-samarskojj-oblasti/" TargetMode="External"/><Relationship Id="rId28" Type="http://schemas.openxmlformats.org/officeDocument/2006/relationships/hyperlink" Target="http://www.kinel.ru/novosti/10499/" TargetMode="External"/><Relationship Id="rId36" Type="http://schemas.openxmlformats.org/officeDocument/2006/relationships/hyperlink" Target="http://www.kinel.ru/informatsija-o-nalichii-nevostrebovannykh-dolejj/" TargetMode="External"/><Relationship Id="rId10" Type="http://schemas.openxmlformats.org/officeDocument/2006/relationships/hyperlink" Target="http://www.kinel.ru/files/arx_3.pdf" TargetMode="External"/><Relationship Id="rId19" Type="http://schemas.openxmlformats.org/officeDocument/2006/relationships/image" Target="media/image4.wmf"/><Relationship Id="rId31" Type="http://schemas.openxmlformats.org/officeDocument/2006/relationships/hyperlink" Target="http://www.kinel.ru/ustanovlenie-publichnykh-servitut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inel.ru/files/arx_6.pdf" TargetMode="External"/><Relationship Id="rId22" Type="http://schemas.openxmlformats.org/officeDocument/2006/relationships/control" Target="activeX/activeX2.xml"/><Relationship Id="rId27" Type="http://schemas.openxmlformats.org/officeDocument/2006/relationships/hyperlink" Target="http://www.kinel.ru/novosti/10498/" TargetMode="External"/><Relationship Id="rId30" Type="http://schemas.openxmlformats.org/officeDocument/2006/relationships/hyperlink" Target="http://www.kinel.ru/skhema-razmeshhenija-reklamnykh-konstruktsijj/" TargetMode="External"/><Relationship Id="rId35" Type="http://schemas.openxmlformats.org/officeDocument/2006/relationships/hyperlink" Target="http://www.kinel.ru/raspisanie-obshhestvennogo-transporta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://www.kinel.ru/files/arx_4.pdf" TargetMode="External"/><Relationship Id="rId17" Type="http://schemas.openxmlformats.org/officeDocument/2006/relationships/hyperlink" Target="http://www.kinel.ru/files/arx_9.pdf" TargetMode="External"/><Relationship Id="rId25" Type="http://schemas.openxmlformats.org/officeDocument/2006/relationships/hyperlink" Target="http://www.kinel.ru/novosti/10496/" TargetMode="External"/><Relationship Id="rId33" Type="http://schemas.openxmlformats.org/officeDocument/2006/relationships/hyperlink" Target="http://www.kinel.ru/munitsipalnye-zadanija/" TargetMode="External"/><Relationship Id="rId38" Type="http://schemas.openxmlformats.org/officeDocument/2006/relationships/hyperlink" Target="http://pravo.gov.r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2</cp:revision>
  <dcterms:created xsi:type="dcterms:W3CDTF">2022-04-13T10:40:00Z</dcterms:created>
  <dcterms:modified xsi:type="dcterms:W3CDTF">2022-04-13T10:40:00Z</dcterms:modified>
</cp:coreProperties>
</file>