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</w:pPr>
      <w: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-76200</wp:posOffset>
                </wp:positionV>
                <wp:extent cx="2548890" cy="1447165"/>
                <wp:effectExtent l="0" t="0" r="4445" b="635"/>
                <wp:wrapNone/>
                <wp:docPr id="1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8890" cy="144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Администрация</w:t>
                            </w:r>
                          </w:p>
                          <w:p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муниципального района Кинельский</w:t>
                            </w:r>
                          </w:p>
                          <w:p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Самарской области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Academy" w:hAnsi="Academy"/>
                                <w:sz w:val="24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Постановление</w:t>
                            </w:r>
                          </w:p>
                          <w:p>
                            <w:pPr>
                              <w:rPr>
                                <w:rFonts w:ascii="Arial" w:hAnsi="Arial"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/>
                                <w:sz w:val="24"/>
                              </w:rPr>
                              <w:t xml:space="preserve">   </w:t>
                            </w:r>
                          </w:p>
                          <w:p>
                            <w:pPr>
                              <w:rPr>
                                <w:rFonts w:ascii="Arial" w:hAnsi="Arial"/>
                                <w:u w:val="single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</w:rPr>
                              <w:t xml:space="preserve">       </w:t>
                            </w:r>
                            <w:r>
                              <w:rPr>
                                <w:rFonts w:ascii="Arial" w:hAnsi="Arial"/>
                              </w:rPr>
                              <w:t>от __________№_________</w:t>
                            </w:r>
                          </w:p>
                          <w:p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г. Кинель</w:t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  <w:r>
                              <w:rPr/>
                              <w:sym w:font="Symbol" w:char="F0E9"/>
                            </w:r>
                            <w:r>
                              <w:t xml:space="preserve">                                                                  </w:t>
                            </w:r>
                            <w:r>
                              <w:rPr/>
                              <w:sym w:font="Symbol" w:char="F0F9"/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o:spt="1" style="position:absolute;left:0pt;margin-left:-0.8pt;margin-top:-6pt;height:113.95pt;width:200.7pt;z-index:251659264;mso-width-relative:page;mso-height-relative:page;" filled="f" stroked="f" coordsize="21600,21600" o:allowincell="f" o:gfxdata="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p65wjNcAAAAKAQAADwAAAAAAAAABACAAAAAiAAAAZHJzL2Rv&#10;d25yZXYueG1sUEsBAhQAFAAAAAgAh07iQG2HJfYCAgAAGgQAAA4AAAAAAAAAAQAgAAAAJgEAAGRy&#10;cy9lMm9Eb2MueG1sUEsFBgAAAAAGAAYAWQEAAJoFAAAAAA==&#10;">
                <v:fill on="f" focussize="0,0"/>
                <v:stroke on="f"/>
                <v:imagedata o:title=""/>
                <o:lock v:ext="edit" aspectratio="f"/>
                <v:textbox inset="1pt,1pt,1pt,1pt">
                  <w:txbxContent>
                    <w:p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Администрация</w:t>
                      </w:r>
                    </w:p>
                    <w:p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муниципального района Кинельский</w:t>
                      </w:r>
                    </w:p>
                    <w:p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Самарской области</w:t>
                      </w:r>
                    </w:p>
                    <w:p>
                      <w:pPr>
                        <w:jc w:val="center"/>
                        <w:rPr>
                          <w:rFonts w:ascii="Academy" w:hAnsi="Academy"/>
                          <w:sz w:val="24"/>
                        </w:rPr>
                      </w:pPr>
                    </w:p>
                    <w:p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Постановление</w:t>
                      </w:r>
                    </w:p>
                    <w:p>
                      <w:pPr>
                        <w:rPr>
                          <w:rFonts w:ascii="Arial" w:hAnsi="Arial"/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   </w:t>
                      </w:r>
                      <w:r>
                        <w:rPr>
                          <w:rFonts w:ascii="Arial" w:hAnsi="Arial"/>
                          <w:sz w:val="24"/>
                        </w:rPr>
                        <w:t xml:space="preserve">   </w:t>
                      </w:r>
                    </w:p>
                    <w:p>
                      <w:pPr>
                        <w:rPr>
                          <w:rFonts w:ascii="Arial" w:hAnsi="Arial"/>
                          <w:u w:val="single"/>
                        </w:rPr>
                      </w:pPr>
                      <w:r>
                        <w:rPr>
                          <w:rFonts w:ascii="Arial" w:hAnsi="Arial"/>
                          <w:sz w:val="24"/>
                        </w:rPr>
                        <w:t xml:space="preserve">       </w:t>
                      </w:r>
                      <w:r>
                        <w:rPr>
                          <w:rFonts w:ascii="Arial" w:hAnsi="Arial"/>
                        </w:rPr>
                        <w:t>от __________№_________</w:t>
                      </w:r>
                    </w:p>
                    <w:p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rFonts w:ascii="Arial" w:hAnsi="Arial"/>
                        </w:rPr>
                        <w:t>г. Кинель</w:t>
                      </w:r>
                    </w:p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  <w:r>
                        <w:rPr/>
                        <w:sym w:font="Symbol" w:char="F0E9"/>
                      </w:r>
                      <w:r>
                        <w:t xml:space="preserve">                                                                  </w:t>
                      </w:r>
                      <w:r>
                        <w:rPr/>
                        <w:sym w:font="Symbol" w:char="F0F9"/>
                      </w:r>
                    </w:p>
                  </w:txbxContent>
                </v:textbox>
              </v:rect>
            </w:pict>
          </mc:Fallback>
        </mc:AlternateContent>
      </w:r>
      <w:r>
        <w:t xml:space="preserve">                                                                  </w:t>
      </w:r>
    </w:p>
    <w:p>
      <w:pPr>
        <w:tabs>
          <w:tab w:val="left" w:pos="602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ПРОЕКТ</w:t>
      </w:r>
    </w:p>
    <w:p>
      <w:pPr>
        <w:tabs>
          <w:tab w:val="left" w:pos="6765"/>
          <w:tab w:val="left" w:pos="7635"/>
        </w:tabs>
        <w:ind w:firstLine="709"/>
        <w:jc w:val="both"/>
        <w:rPr>
          <w:sz w:val="32"/>
          <w:szCs w:val="32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</w:p>
    <w:p>
      <w:pPr>
        <w:tabs>
          <w:tab w:val="left" w:pos="69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tabs>
          <w:tab w:val="left" w:pos="778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ind w:firstLine="709"/>
        <w:jc w:val="both"/>
        <w:rPr>
          <w:sz w:val="28"/>
          <w:szCs w:val="28"/>
        </w:rPr>
      </w:pPr>
    </w:p>
    <w:p>
      <w:pPr>
        <w:rPr>
          <w:b/>
          <w:sz w:val="28"/>
          <w:szCs w:val="28"/>
        </w:rPr>
      </w:pPr>
    </w:p>
    <w:p>
      <w:pPr>
        <w:rPr>
          <w:b/>
          <w:sz w:val="28"/>
          <w:szCs w:val="28"/>
        </w:rPr>
      </w:pPr>
    </w:p>
    <w:p>
      <w:pPr>
        <w:rPr>
          <w:b/>
          <w:sz w:val="28"/>
          <w:szCs w:val="28"/>
        </w:rPr>
      </w:pPr>
    </w:p>
    <w:p>
      <w:pPr>
        <w:ind w:left="14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 внесении изменений в </w:t>
      </w:r>
    </w:p>
    <w:p>
      <w:pPr>
        <w:ind w:left="14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муниципальную программу </w:t>
      </w:r>
    </w:p>
    <w:p>
      <w:pPr>
        <w:ind w:left="142"/>
        <w:rPr>
          <w:b/>
          <w:sz w:val="28"/>
          <w:szCs w:val="28"/>
        </w:rPr>
      </w:pPr>
      <w:r>
        <w:rPr>
          <w:sz w:val="28"/>
          <w:szCs w:val="28"/>
          <w:lang w:eastAsia="ar-SA"/>
        </w:rPr>
        <w:t>«</w:t>
      </w:r>
      <w:r>
        <w:rPr>
          <w:b/>
          <w:sz w:val="28"/>
          <w:szCs w:val="28"/>
        </w:rPr>
        <w:t>Предоставление государственных</w:t>
      </w:r>
    </w:p>
    <w:p>
      <w:pPr>
        <w:ind w:left="14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 муниципальных услуг  в режиме</w:t>
      </w:r>
    </w:p>
    <w:p>
      <w:pPr>
        <w:ind w:left="142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«одного окна» </w:t>
      </w:r>
      <w:r>
        <w:rPr>
          <w:b/>
          <w:bCs/>
          <w:sz w:val="28"/>
          <w:szCs w:val="28"/>
        </w:rPr>
        <w:t>на территории муниципального</w:t>
      </w:r>
    </w:p>
    <w:p>
      <w:pPr>
        <w:ind w:left="142" w:right="-144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района Кинельский»</w:t>
      </w:r>
      <w:r>
        <w:rPr>
          <w:b/>
          <w:sz w:val="28"/>
          <w:szCs w:val="28"/>
        </w:rPr>
        <w:t xml:space="preserve">  на 2017-2026 годы»</w:t>
      </w:r>
    </w:p>
    <w:p>
      <w:pPr>
        <w:ind w:firstLine="709"/>
        <w:jc w:val="both"/>
        <w:rPr>
          <w:sz w:val="28"/>
          <w:szCs w:val="28"/>
        </w:rPr>
      </w:pPr>
    </w:p>
    <w:p>
      <w:pPr>
        <w:ind w:firstLine="709"/>
        <w:jc w:val="both"/>
        <w:rPr>
          <w:sz w:val="28"/>
          <w:szCs w:val="28"/>
        </w:rPr>
      </w:pPr>
    </w:p>
    <w:p>
      <w:pPr>
        <w:widowControl w:val="0"/>
        <w:spacing w:line="360" w:lineRule="auto"/>
        <w:ind w:left="40" w:right="4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ст. 179 Бюджетного Кодекса Российской Федерации, Федеральным законом Российской Федерации от 06.10.2003 г. № 131-ФЗ «Об общих принципах организации местного самоуправления в Российской Федерации», Федеральным законом от 07.05.2013 г. № 104-ФЗ «О внесении изменений в Бюджетный кодекс Российской Федерации и отдельные акты Российской Федерации в связи с совершенствованием бюджетного процесса», </w:t>
      </w:r>
      <w:r>
        <w:rPr>
          <w:color w:val="000000"/>
          <w:spacing w:val="-10"/>
          <w:sz w:val="28"/>
          <w:szCs w:val="28"/>
        </w:rPr>
        <w:t xml:space="preserve">Федеральный законом от 27 июля 2010 года № 210-ФЗ «Об организации предоставления государственных и муниципальных услуг», 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Постановлением администрации муниципального района Кинельский Самарской области от 22.11.2013 г. № 1999 «Об утверждении порядка принятия решений о разработке, формировании и реализации муниципальных программ муниципального района Кинельский Самарской области», Уставом муниципального района Кинельский, администрация муниципального района Кинельский Самарской области</w:t>
      </w:r>
    </w:p>
    <w:p>
      <w:pPr>
        <w:widowControl w:val="0"/>
        <w:spacing w:line="360" w:lineRule="auto"/>
        <w:ind w:left="40" w:right="40" w:firstLine="700"/>
        <w:jc w:val="both"/>
        <w:rPr>
          <w:color w:val="000000"/>
          <w:spacing w:val="-10"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>
      <w:pPr>
        <w:pStyle w:val="1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прилагаемые изменения в муниципальную программу «</w:t>
      </w:r>
      <w:r>
        <w:rPr>
          <w:rFonts w:ascii="Times New Roman" w:hAnsi="Times New Roman"/>
          <w:bCs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редоставление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государственных и муниципальных услуг в режиме «одного окна» на территории муниципального района Кинельский</w:t>
      </w:r>
      <w:r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2017-2026 годы, утвержденную,  постановлением администрации муниципального района Кинельский от 12.12.2016 года №1987.</w:t>
      </w:r>
    </w:p>
    <w:p>
      <w:pPr>
        <w:pStyle w:val="11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в газете «Междуречье» и разместить на официальном сайте администрации муниципального района Кинельский в информационно – телекоммуникационной сети Интернет  (к</w:t>
      </w:r>
      <w:r>
        <w:rPr>
          <w:sz w:val="28"/>
          <w:szCs w:val="28"/>
          <w:lang w:val="en-US"/>
        </w:rPr>
        <w:t>inel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) в подразделе «Нормативные правовые акты» раздела «Документы».</w:t>
      </w:r>
    </w:p>
    <w:p>
      <w:pPr>
        <w:pStyle w:val="11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после его официального опубликования.</w:t>
      </w:r>
    </w:p>
    <w:p>
      <w:pPr>
        <w:pStyle w:val="11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возложить на директора МБУ м.р. Кинельский «МФЦ» Иванушкину Ольгу Васильевну.</w:t>
      </w:r>
    </w:p>
    <w:p>
      <w:pPr>
        <w:spacing w:line="360" w:lineRule="auto"/>
        <w:jc w:val="both"/>
        <w:rPr>
          <w:sz w:val="28"/>
          <w:szCs w:val="28"/>
        </w:rPr>
      </w:pPr>
    </w:p>
    <w:p>
      <w:pPr>
        <w:spacing w:line="360" w:lineRule="auto"/>
        <w:jc w:val="both"/>
        <w:rPr>
          <w:sz w:val="28"/>
          <w:szCs w:val="28"/>
        </w:rPr>
      </w:pPr>
    </w:p>
    <w:p>
      <w:pPr>
        <w:spacing w:line="360" w:lineRule="auto"/>
        <w:jc w:val="both"/>
        <w:rPr>
          <w:sz w:val="28"/>
          <w:szCs w:val="28"/>
        </w:rPr>
      </w:pPr>
    </w:p>
    <w:p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муниципального </w:t>
      </w:r>
    </w:p>
    <w:p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района Кинельский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Ю.Н.Жидков</w:t>
      </w:r>
    </w:p>
    <w:p>
      <w:pPr>
        <w:jc w:val="both"/>
        <w:rPr>
          <w:b/>
          <w:sz w:val="28"/>
          <w:szCs w:val="28"/>
        </w:rPr>
      </w:pPr>
    </w:p>
    <w:p>
      <w:pPr>
        <w:spacing w:line="276" w:lineRule="auto"/>
        <w:jc w:val="both"/>
      </w:pPr>
    </w:p>
    <w:p>
      <w:pPr>
        <w:spacing w:line="360" w:lineRule="auto"/>
        <w:jc w:val="both"/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36"/>
          <w:szCs w:val="28"/>
        </w:rPr>
      </w:pPr>
    </w:p>
    <w:p>
      <w:pPr>
        <w:rPr>
          <w:sz w:val="22"/>
          <w:szCs w:val="18"/>
        </w:rPr>
      </w:pPr>
      <w:r>
        <w:rPr>
          <w:sz w:val="22"/>
          <w:szCs w:val="18"/>
        </w:rPr>
        <w:t>Исполнитель: Иванушкина О.В. (84663)21911</w:t>
      </w:r>
    </w:p>
    <w:p>
      <w:pPr>
        <w:jc w:val="both"/>
        <w:rPr>
          <w:sz w:val="18"/>
          <w:szCs w:val="18"/>
        </w:rPr>
      </w:pPr>
    </w:p>
    <w:p>
      <w:pPr>
        <w:jc w:val="both"/>
        <w:rPr>
          <w:sz w:val="18"/>
          <w:szCs w:val="18"/>
        </w:rPr>
      </w:pPr>
    </w:p>
    <w:p>
      <w:pPr>
        <w:jc w:val="both"/>
        <w:rPr>
          <w:sz w:val="18"/>
          <w:szCs w:val="18"/>
        </w:rPr>
      </w:pPr>
    </w:p>
    <w:p>
      <w:pPr>
        <w:jc w:val="both"/>
        <w:rPr>
          <w:sz w:val="18"/>
          <w:szCs w:val="18"/>
        </w:rPr>
      </w:pPr>
    </w:p>
    <w:p>
      <w:pPr>
        <w:jc w:val="both"/>
        <w:rPr>
          <w:sz w:val="18"/>
          <w:szCs w:val="18"/>
        </w:rPr>
      </w:pPr>
    </w:p>
    <w:p>
      <w:pPr>
        <w:jc w:val="both"/>
        <w:rPr>
          <w:sz w:val="18"/>
          <w:szCs w:val="18"/>
        </w:rPr>
      </w:pPr>
    </w:p>
    <w:p>
      <w:pPr>
        <w:spacing w:line="360" w:lineRule="auto"/>
        <w:ind w:right="70"/>
        <w:jc w:val="both"/>
      </w:pPr>
      <w:r>
        <w:rPr>
          <w:sz w:val="28"/>
          <w:szCs w:val="28"/>
        </w:rPr>
        <w:t>СОГЛАСОВАНО:</w:t>
      </w:r>
    </w:p>
    <w:p>
      <w:pPr>
        <w:spacing w:line="360" w:lineRule="auto"/>
        <w:ind w:right="70"/>
        <w:jc w:val="both"/>
        <w:rPr>
          <w:sz w:val="28"/>
          <w:szCs w:val="28"/>
        </w:rPr>
      </w:pPr>
    </w:p>
    <w:p>
      <w:pPr>
        <w:ind w:right="70"/>
        <w:jc w:val="both"/>
      </w:pPr>
      <w:r>
        <w:rPr>
          <w:sz w:val="28"/>
          <w:szCs w:val="28"/>
        </w:rPr>
        <w:t xml:space="preserve">Руководитель Управления </w:t>
      </w:r>
    </w:p>
    <w:p>
      <w:pPr>
        <w:ind w:right="70"/>
        <w:jc w:val="both"/>
      </w:pPr>
      <w:r>
        <w:rPr>
          <w:sz w:val="28"/>
          <w:szCs w:val="28"/>
        </w:rPr>
        <w:t xml:space="preserve">финансами Администрации </w:t>
      </w:r>
    </w:p>
    <w:p>
      <w:pPr>
        <w:ind w:right="70"/>
        <w:jc w:val="both"/>
      </w:pPr>
      <w:r>
        <w:rPr>
          <w:sz w:val="28"/>
          <w:szCs w:val="28"/>
        </w:rPr>
        <w:t xml:space="preserve">муниципального района Кинельский                              Е.А. Борисова         </w:t>
      </w:r>
    </w:p>
    <w:p>
      <w:pPr>
        <w:spacing w:line="360" w:lineRule="auto"/>
        <w:ind w:right="70"/>
        <w:jc w:val="both"/>
        <w:rPr>
          <w:sz w:val="28"/>
          <w:szCs w:val="28"/>
        </w:rPr>
      </w:pPr>
    </w:p>
    <w:p>
      <w:pPr>
        <w:spacing w:line="360" w:lineRule="auto"/>
        <w:ind w:right="70"/>
        <w:jc w:val="both"/>
        <w:rPr>
          <w:sz w:val="28"/>
          <w:szCs w:val="28"/>
        </w:rPr>
      </w:pPr>
    </w:p>
    <w:p>
      <w:pPr>
        <w:spacing w:line="360" w:lineRule="auto"/>
        <w:ind w:right="70"/>
        <w:jc w:val="both"/>
        <w:rPr>
          <w:sz w:val="28"/>
          <w:szCs w:val="28"/>
        </w:rPr>
      </w:pPr>
    </w:p>
    <w:p>
      <w:pPr>
        <w:ind w:right="70"/>
        <w:jc w:val="both"/>
      </w:pPr>
      <w:r>
        <w:rPr>
          <w:sz w:val="28"/>
          <w:szCs w:val="28"/>
        </w:rPr>
        <w:t xml:space="preserve">Заместитель главы </w:t>
      </w:r>
    </w:p>
    <w:p>
      <w:pPr>
        <w:ind w:right="70"/>
        <w:jc w:val="both"/>
      </w:pPr>
      <w:r>
        <w:rPr>
          <w:sz w:val="28"/>
          <w:szCs w:val="28"/>
        </w:rPr>
        <w:t xml:space="preserve">муниципального района </w:t>
      </w:r>
    </w:p>
    <w:p>
      <w:pPr>
        <w:ind w:right="70"/>
        <w:jc w:val="both"/>
      </w:pPr>
      <w:r>
        <w:rPr>
          <w:sz w:val="28"/>
          <w:szCs w:val="28"/>
        </w:rPr>
        <w:t>Кинельский  по экономике                                                С.Н. Рузова</w:t>
      </w:r>
    </w:p>
    <w:p>
      <w:pPr>
        <w:ind w:right="70"/>
        <w:rPr>
          <w:sz w:val="28"/>
          <w:szCs w:val="28"/>
        </w:rPr>
      </w:pPr>
    </w:p>
    <w:p>
      <w:pPr>
        <w:spacing w:line="360" w:lineRule="auto"/>
        <w:ind w:right="70"/>
        <w:rPr>
          <w:sz w:val="28"/>
          <w:szCs w:val="28"/>
        </w:rPr>
      </w:pPr>
    </w:p>
    <w:p>
      <w:pPr>
        <w:ind w:right="70"/>
        <w:rPr>
          <w:sz w:val="28"/>
          <w:szCs w:val="28"/>
        </w:rPr>
      </w:pPr>
    </w:p>
    <w:p>
      <w:pPr>
        <w:ind w:right="70"/>
        <w:rPr>
          <w:sz w:val="28"/>
          <w:szCs w:val="28"/>
        </w:rPr>
      </w:pPr>
    </w:p>
    <w:p>
      <w:pPr>
        <w:ind w:right="70"/>
      </w:pPr>
      <w:r>
        <w:rPr>
          <w:sz w:val="28"/>
          <w:szCs w:val="28"/>
        </w:rPr>
        <w:t xml:space="preserve">Начальник </w:t>
      </w:r>
    </w:p>
    <w:p>
      <w:pPr>
        <w:ind w:right="70"/>
        <w:jc w:val="both"/>
      </w:pPr>
      <w:r>
        <w:rPr>
          <w:sz w:val="28"/>
          <w:szCs w:val="28"/>
        </w:rPr>
        <w:t>юридического отдела                                                        Т.Л.Силантьева</w:t>
      </w:r>
    </w:p>
    <w:p>
      <w:pPr>
        <w:jc w:val="both"/>
        <w:rPr>
          <w:bCs/>
        </w:rPr>
        <w:sectPr>
          <w:pgSz w:w="11906" w:h="16838"/>
          <w:pgMar w:top="1134" w:right="1418" w:bottom="567" w:left="1418" w:header="709" w:footer="709" w:gutter="0"/>
          <w:cols w:space="708" w:num="1"/>
          <w:docGrid w:linePitch="360" w:charSpace="0"/>
        </w:sectPr>
      </w:pPr>
    </w:p>
    <w:tbl>
      <w:tblPr>
        <w:tblStyle w:val="5"/>
        <w:tblW w:w="1912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58"/>
        <w:gridCol w:w="526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2" w:hRule="atLeast"/>
        </w:trPr>
        <w:tc>
          <w:tcPr>
            <w:tcW w:w="13858" w:type="dxa"/>
          </w:tcPr>
          <w:p>
            <w:pPr>
              <w:rPr>
                <w:bCs/>
              </w:rPr>
            </w:pPr>
          </w:p>
          <w:p>
            <w:pPr>
              <w:tabs>
                <w:tab w:val="left" w:pos="6323"/>
              </w:tabs>
              <w:ind w:firstLine="7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УТВЕРЖДЕНЫ</w:t>
            </w:r>
          </w:p>
          <w:p>
            <w:pPr>
              <w:tabs>
                <w:tab w:val="left" w:pos="6323"/>
              </w:tabs>
              <w:ind w:firstLine="7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Постановлением администрации </w:t>
            </w:r>
          </w:p>
          <w:p>
            <w:pPr>
              <w:tabs>
                <w:tab w:val="left" w:pos="6323"/>
              </w:tabs>
              <w:ind w:firstLine="7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 Кинельский</w:t>
            </w:r>
          </w:p>
          <w:p>
            <w:pPr>
              <w:tabs>
                <w:tab w:val="left" w:pos="6323"/>
              </w:tabs>
              <w:ind w:firstLine="7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                  № ____ от  __________2023г.</w:t>
            </w:r>
          </w:p>
          <w:p>
            <w:pPr>
              <w:jc w:val="center"/>
            </w:pPr>
            <w:r>
              <w:rPr>
                <w:sz w:val="28"/>
                <w:szCs w:val="28"/>
              </w:rPr>
              <w:t xml:space="preserve">Изменения, </w:t>
            </w:r>
          </w:p>
          <w:p>
            <w:pPr>
              <w:ind w:left="284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которые вносятся в муниципальную программу «</w:t>
            </w:r>
            <w:r>
              <w:rPr>
                <w:bCs/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редоставление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государственных и муниципальных услуг в режиме «одного окна» на территории муниципального района Кинельский</w:t>
            </w:r>
            <w:r>
              <w:rPr>
                <w:b/>
                <w:sz w:val="28"/>
                <w:szCs w:val="28"/>
              </w:rPr>
              <w:t>»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 2017-2026 годы, утвержденную,  постановлением администрации муниципального района Кинельский от 12.12.2016 года №1987.</w:t>
            </w:r>
          </w:p>
          <w:p>
            <w:pPr>
              <w:jc w:val="center"/>
              <w:rPr>
                <w:b/>
                <w:sz w:val="28"/>
                <w:szCs w:val="28"/>
              </w:rPr>
            </w:pPr>
          </w:p>
          <w:p>
            <w:pPr>
              <w:numPr>
                <w:ilvl w:val="0"/>
                <w:numId w:val="2"/>
              </w:numPr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Паспорт программы в разделе:   «объемы и источники финансирования»  абзацы на 2023 год, 2024 год, 2025 год, 2026 изменить и изложить в следующей редакции:</w:t>
            </w:r>
          </w:p>
          <w:p>
            <w:pPr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ind w:left="7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2023 год – 9</w:t>
            </w:r>
            <w:r>
              <w:rPr>
                <w:rFonts w:hint="default"/>
                <w:sz w:val="28"/>
                <w:szCs w:val="28"/>
                <w:lang w:val="ru-RU"/>
              </w:rPr>
              <w:t>005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default"/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</w:rPr>
              <w:t xml:space="preserve">  тыс. руб.</w:t>
            </w:r>
          </w:p>
          <w:p>
            <w:pPr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ind w:left="7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2024 год – 8521,8    тыс. руб.</w:t>
            </w:r>
          </w:p>
          <w:p>
            <w:pPr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ind w:left="7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2025 год – 8521,8  тыс. руб.</w:t>
            </w:r>
          </w:p>
          <w:p>
            <w:pPr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ind w:left="7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2026 год –8521,8  тыс. руб.</w:t>
            </w:r>
          </w:p>
          <w:p>
            <w:pPr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2. В приложение №2 муниципальной программы в столбцы «прогноз стоимости по годам (т.р.)» внести изменения и изложить в следующей редакции:</w:t>
            </w:r>
          </w:p>
          <w:p/>
        </w:tc>
        <w:tc>
          <w:tcPr>
            <w:tcW w:w="5262" w:type="dxa"/>
          </w:tcPr>
          <w:p>
            <w:pPr>
              <w:jc w:val="both"/>
            </w:pPr>
          </w:p>
          <w:p>
            <w:pPr>
              <w:jc w:val="both"/>
            </w:pPr>
          </w:p>
          <w:p>
            <w:pPr>
              <w:jc w:val="both"/>
            </w:pPr>
          </w:p>
          <w:p>
            <w:pPr>
              <w:jc w:val="both"/>
            </w:pPr>
          </w:p>
          <w:p>
            <w:pPr>
              <w:ind w:left="4144"/>
              <w:jc w:val="both"/>
            </w:pPr>
          </w:p>
          <w:p>
            <w:pPr>
              <w:jc w:val="both"/>
            </w:pPr>
          </w:p>
          <w:p>
            <w:pPr>
              <w:jc w:val="both"/>
            </w:pPr>
          </w:p>
          <w:p>
            <w:pPr>
              <w:jc w:val="both"/>
            </w:pPr>
          </w:p>
          <w:p>
            <w:pPr>
              <w:jc w:val="both"/>
            </w:pPr>
          </w:p>
          <w:p>
            <w:pPr>
              <w:jc w:val="both"/>
            </w:pPr>
          </w:p>
          <w:p>
            <w:pPr>
              <w:jc w:val="both"/>
            </w:pPr>
          </w:p>
          <w:p>
            <w:pPr>
              <w:jc w:val="both"/>
            </w:pPr>
          </w:p>
          <w:p>
            <w:pPr>
              <w:jc w:val="both"/>
            </w:pPr>
          </w:p>
          <w:p>
            <w:pPr>
              <w:jc w:val="both"/>
            </w:pPr>
          </w:p>
          <w:p>
            <w:pPr>
              <w:jc w:val="both"/>
            </w:pPr>
          </w:p>
          <w:p>
            <w:pPr>
              <w:jc w:val="both"/>
            </w:pPr>
          </w:p>
          <w:p>
            <w:pPr>
              <w:jc w:val="both"/>
            </w:pPr>
          </w:p>
          <w:p>
            <w:pPr>
              <w:jc w:val="both"/>
            </w:pPr>
          </w:p>
          <w:p>
            <w:pPr>
              <w:jc w:val="both"/>
            </w:pPr>
          </w:p>
          <w:p>
            <w:pPr>
              <w:jc w:val="both"/>
            </w:pPr>
          </w:p>
          <w:p>
            <w:pPr>
              <w:jc w:val="both"/>
            </w:pPr>
          </w:p>
          <w:p>
            <w:pPr>
              <w:jc w:val="both"/>
            </w:pPr>
          </w:p>
          <w:p>
            <w:pPr>
              <w:jc w:val="both"/>
            </w:pPr>
          </w:p>
          <w:p>
            <w:pPr>
              <w:jc w:val="both"/>
              <w:rPr>
                <w:bCs/>
              </w:rPr>
            </w:pPr>
          </w:p>
        </w:tc>
      </w:tr>
    </w:tbl>
    <w:p>
      <w:pPr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Прогноз сводных показателей стоимости мероприятий, выполняемых в рамках муниципальной программы</w:t>
      </w:r>
    </w:p>
    <w:p>
      <w:pPr>
        <w:rPr>
          <w:b/>
          <w:bCs/>
        </w:rPr>
      </w:pPr>
    </w:p>
    <w:tbl>
      <w:tblPr>
        <w:tblStyle w:val="5"/>
        <w:tblW w:w="12899" w:type="dxa"/>
        <w:tblInd w:w="15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7"/>
        <w:gridCol w:w="2562"/>
        <w:gridCol w:w="789"/>
        <w:gridCol w:w="866"/>
        <w:gridCol w:w="821"/>
        <w:gridCol w:w="776"/>
        <w:gridCol w:w="776"/>
        <w:gridCol w:w="776"/>
        <w:gridCol w:w="1303"/>
        <w:gridCol w:w="1582"/>
        <w:gridCol w:w="18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7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п.п</w:t>
            </w:r>
          </w:p>
        </w:tc>
        <w:tc>
          <w:tcPr>
            <w:tcW w:w="2562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мероприятий</w:t>
            </w:r>
          </w:p>
        </w:tc>
        <w:tc>
          <w:tcPr>
            <w:tcW w:w="9570" w:type="dxa"/>
            <w:gridSpan w:val="9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Прогноз стоимости по годам(т.р.)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767" w:type="dxa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562" w:type="dxa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570" w:type="dxa"/>
            <w:gridSpan w:val="9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2899" w:type="dxa"/>
            <w:gridSpan w:val="11"/>
          </w:tcPr>
          <w:p>
            <w:pPr>
              <w:pStyle w:val="15"/>
              <w:tabs>
                <w:tab w:val="left" w:pos="720"/>
              </w:tabs>
              <w:spacing w:line="276" w:lineRule="auto"/>
              <w:ind w:left="72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Мероприятия, направленные на  п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редоставление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государственных и муниципальных услуг</w:t>
            </w:r>
          </w:p>
          <w:p>
            <w:pPr>
              <w:jc w:val="center"/>
              <w:rPr>
                <w:bCs/>
              </w:rPr>
            </w:pPr>
            <w:r>
              <w:rPr>
                <w:bCs/>
                <w:sz w:val="24"/>
                <w:szCs w:val="24"/>
              </w:rPr>
              <w:t>в режиме «одного окна» на территории муниципального района Кинельский, выполняемые в рамках муниципального задания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7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1.1</w:t>
            </w:r>
            <w:r>
              <w:rPr>
                <w:b/>
                <w:bCs/>
              </w:rPr>
              <w:t>.</w:t>
            </w:r>
          </w:p>
        </w:tc>
        <w:tc>
          <w:tcPr>
            <w:tcW w:w="2562" w:type="dxa"/>
            <w:vAlign w:val="center"/>
          </w:tcPr>
          <w:p>
            <w:pPr>
              <w:pStyle w:val="15"/>
              <w:tabs>
                <w:tab w:val="left" w:pos="720"/>
              </w:tabs>
              <w:spacing w:line="276" w:lineRule="auto"/>
              <w:jc w:val="center"/>
              <w:rPr>
                <w:b w:val="0"/>
                <w:bCs w:val="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bCs w:val="0"/>
                <w:sz w:val="20"/>
                <w:szCs w:val="24"/>
              </w:rPr>
              <w:t>редоставление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 w:val="0"/>
                <w:sz w:val="20"/>
                <w:szCs w:val="24"/>
              </w:rPr>
              <w:t xml:space="preserve">государственных и муниципальных услуг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в режиме «одного окна» на территории муниципального района Кинельский</w:t>
            </w:r>
          </w:p>
        </w:tc>
        <w:tc>
          <w:tcPr>
            <w:tcW w:w="78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86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82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77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776" w:type="dxa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776" w:type="dxa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303" w:type="dxa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582" w:type="dxa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1881" w:type="dxa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767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562" w:type="dxa"/>
            <w:vAlign w:val="center"/>
          </w:tcPr>
          <w:p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В том числе:</w:t>
            </w:r>
          </w:p>
        </w:tc>
        <w:tc>
          <w:tcPr>
            <w:tcW w:w="789" w:type="dxa"/>
            <w:vAlign w:val="center"/>
          </w:tcPr>
          <w:p>
            <w:pPr>
              <w:jc w:val="center"/>
              <w:rPr>
                <w:bCs/>
              </w:rPr>
            </w:pPr>
            <w:r>
              <w:t>6774,3</w:t>
            </w:r>
          </w:p>
        </w:tc>
        <w:tc>
          <w:tcPr>
            <w:tcW w:w="866" w:type="dxa"/>
            <w:vAlign w:val="center"/>
          </w:tcPr>
          <w:p>
            <w:pPr>
              <w:jc w:val="center"/>
              <w:rPr>
                <w:bCs/>
              </w:rPr>
            </w:pPr>
            <w:r>
              <w:t>15554,9</w:t>
            </w:r>
          </w:p>
        </w:tc>
        <w:tc>
          <w:tcPr>
            <w:tcW w:w="821" w:type="dxa"/>
          </w:tcPr>
          <w:p>
            <w:r>
              <w:rPr>
                <w:sz w:val="22"/>
                <w:szCs w:val="28"/>
              </w:rPr>
              <w:t xml:space="preserve">6798,0  </w:t>
            </w:r>
          </w:p>
        </w:tc>
        <w:tc>
          <w:tcPr>
            <w:tcW w:w="776" w:type="dxa"/>
          </w:tcPr>
          <w:p>
            <w:r>
              <w:t xml:space="preserve">8525,3 </w:t>
            </w:r>
          </w:p>
        </w:tc>
        <w:tc>
          <w:tcPr>
            <w:tcW w:w="776" w:type="dxa"/>
          </w:tcPr>
          <w:p>
            <w:r>
              <w:t xml:space="preserve">8409,2  </w:t>
            </w:r>
          </w:p>
        </w:tc>
        <w:tc>
          <w:tcPr>
            <w:tcW w:w="776" w:type="dxa"/>
          </w:tcPr>
          <w:p>
            <w:pPr>
              <w:jc w:val="center"/>
            </w:pPr>
            <w:r>
              <w:rPr>
                <w:rFonts w:hint="default"/>
                <w:szCs w:val="28"/>
                <w:lang w:val="ru-RU"/>
              </w:rPr>
              <w:t>8955,</w:t>
            </w:r>
            <w:r>
              <w:rPr>
                <w:szCs w:val="28"/>
              </w:rPr>
              <w:t>0</w:t>
            </w:r>
          </w:p>
        </w:tc>
        <w:tc>
          <w:tcPr>
            <w:tcW w:w="1303" w:type="dxa"/>
          </w:tcPr>
          <w:p>
            <w:r>
              <w:rPr>
                <w:szCs w:val="28"/>
              </w:rPr>
              <w:t xml:space="preserve">8521,8    </w:t>
            </w:r>
          </w:p>
        </w:tc>
        <w:tc>
          <w:tcPr>
            <w:tcW w:w="1582" w:type="dxa"/>
          </w:tcPr>
          <w:p>
            <w:r>
              <w:rPr>
                <w:szCs w:val="28"/>
              </w:rPr>
              <w:t xml:space="preserve">8521,8    </w:t>
            </w:r>
          </w:p>
        </w:tc>
        <w:tc>
          <w:tcPr>
            <w:tcW w:w="1881" w:type="dxa"/>
          </w:tcPr>
          <w:p>
            <w:r>
              <w:rPr>
                <w:szCs w:val="28"/>
              </w:rPr>
              <w:t xml:space="preserve">8521,8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7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1.1.1.</w:t>
            </w:r>
          </w:p>
        </w:tc>
        <w:tc>
          <w:tcPr>
            <w:tcW w:w="2562" w:type="dxa"/>
            <w:vAlign w:val="bottom"/>
          </w:tcPr>
          <w:p>
            <w:pPr>
              <w:jc w:val="both"/>
              <w:rPr>
                <w:bCs/>
                <w:szCs w:val="24"/>
              </w:rPr>
            </w:pPr>
            <w:r>
              <w:rPr>
                <w:szCs w:val="24"/>
              </w:rPr>
              <w:t>Количество человеко-часов, отработанных специалистами МФЦ</w:t>
            </w:r>
          </w:p>
        </w:tc>
        <w:tc>
          <w:tcPr>
            <w:tcW w:w="789" w:type="dxa"/>
            <w:shd w:val="clear" w:color="auto" w:fill="auto"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776" w:type="dxa"/>
          </w:tcPr>
          <w:p>
            <w:pPr>
              <w:jc w:val="center"/>
              <w:rPr>
                <w:bCs/>
              </w:rPr>
            </w:pPr>
          </w:p>
        </w:tc>
        <w:tc>
          <w:tcPr>
            <w:tcW w:w="776" w:type="dxa"/>
          </w:tcPr>
          <w:p>
            <w:pPr>
              <w:jc w:val="center"/>
              <w:rPr>
                <w:bCs/>
              </w:rPr>
            </w:pPr>
          </w:p>
        </w:tc>
        <w:tc>
          <w:tcPr>
            <w:tcW w:w="1303" w:type="dxa"/>
          </w:tcPr>
          <w:p>
            <w:pPr>
              <w:jc w:val="center"/>
              <w:rPr>
                <w:bCs/>
              </w:rPr>
            </w:pPr>
          </w:p>
        </w:tc>
        <w:tc>
          <w:tcPr>
            <w:tcW w:w="1582" w:type="dxa"/>
          </w:tcPr>
          <w:p>
            <w:pPr>
              <w:jc w:val="center"/>
              <w:rPr>
                <w:bCs/>
              </w:rPr>
            </w:pPr>
          </w:p>
        </w:tc>
        <w:tc>
          <w:tcPr>
            <w:tcW w:w="1881" w:type="dxa"/>
          </w:tcPr>
          <w:p>
            <w:pPr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7" w:type="dxa"/>
            <w:vAlign w:val="center"/>
          </w:tcPr>
          <w:p>
            <w:pPr>
              <w:jc w:val="center"/>
            </w:pPr>
            <w:r>
              <w:t>1.1.2.</w:t>
            </w:r>
          </w:p>
        </w:tc>
        <w:tc>
          <w:tcPr>
            <w:tcW w:w="2562" w:type="dxa"/>
            <w:vAlign w:val="center"/>
          </w:tcPr>
          <w:p>
            <w:pPr>
              <w:rPr>
                <w:szCs w:val="24"/>
              </w:rPr>
            </w:pPr>
            <w:r>
              <w:rPr>
                <w:szCs w:val="24"/>
              </w:rPr>
              <w:t xml:space="preserve"> Предоставление каналов телефонной связи ТОСПам МФЦ</w:t>
            </w:r>
          </w:p>
        </w:tc>
        <w:tc>
          <w:tcPr>
            <w:tcW w:w="789" w:type="dxa"/>
            <w:shd w:val="clear" w:color="auto" w:fill="auto"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776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776" w:type="dxa"/>
          </w:tcPr>
          <w:p>
            <w:pPr>
              <w:jc w:val="center"/>
            </w:pPr>
          </w:p>
        </w:tc>
        <w:tc>
          <w:tcPr>
            <w:tcW w:w="776" w:type="dxa"/>
          </w:tcPr>
          <w:p>
            <w:pPr>
              <w:jc w:val="center"/>
            </w:pPr>
          </w:p>
        </w:tc>
        <w:tc>
          <w:tcPr>
            <w:tcW w:w="1303" w:type="dxa"/>
          </w:tcPr>
          <w:p>
            <w:pPr>
              <w:jc w:val="center"/>
            </w:pPr>
          </w:p>
        </w:tc>
        <w:tc>
          <w:tcPr>
            <w:tcW w:w="1582" w:type="dxa"/>
          </w:tcPr>
          <w:p>
            <w:pPr>
              <w:jc w:val="center"/>
            </w:pPr>
          </w:p>
        </w:tc>
        <w:tc>
          <w:tcPr>
            <w:tcW w:w="1881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7" w:type="dxa"/>
            <w:vAlign w:val="center"/>
          </w:tcPr>
          <w:p>
            <w:pPr>
              <w:jc w:val="center"/>
            </w:pPr>
            <w:r>
              <w:t>1.1.3.</w:t>
            </w:r>
          </w:p>
        </w:tc>
        <w:tc>
          <w:tcPr>
            <w:tcW w:w="2562" w:type="dxa"/>
            <w:vAlign w:val="center"/>
          </w:tcPr>
          <w:p>
            <w:pPr>
              <w:rPr>
                <w:szCs w:val="24"/>
              </w:rPr>
            </w:pPr>
            <w:r>
              <w:rPr>
                <w:szCs w:val="24"/>
              </w:rPr>
              <w:t xml:space="preserve">  Обеспечение удаленных ТОСПов  МФЦ услугами  мобильной Интернет –связи на основе сотовой связи </w:t>
            </w:r>
          </w:p>
        </w:tc>
        <w:tc>
          <w:tcPr>
            <w:tcW w:w="789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866" w:type="dxa"/>
            <w:shd w:val="clear" w:color="auto" w:fill="auto"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776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776" w:type="dxa"/>
          </w:tcPr>
          <w:p>
            <w:pPr>
              <w:jc w:val="center"/>
            </w:pPr>
          </w:p>
        </w:tc>
        <w:tc>
          <w:tcPr>
            <w:tcW w:w="776" w:type="dxa"/>
          </w:tcPr>
          <w:p>
            <w:pPr>
              <w:jc w:val="center"/>
            </w:pPr>
          </w:p>
        </w:tc>
        <w:tc>
          <w:tcPr>
            <w:tcW w:w="1303" w:type="dxa"/>
          </w:tcPr>
          <w:p>
            <w:pPr>
              <w:jc w:val="center"/>
            </w:pPr>
          </w:p>
        </w:tc>
        <w:tc>
          <w:tcPr>
            <w:tcW w:w="1582" w:type="dxa"/>
          </w:tcPr>
          <w:p>
            <w:pPr>
              <w:jc w:val="center"/>
            </w:pPr>
          </w:p>
        </w:tc>
        <w:tc>
          <w:tcPr>
            <w:tcW w:w="1881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7" w:type="dxa"/>
            <w:vAlign w:val="center"/>
          </w:tcPr>
          <w:p>
            <w:pPr>
              <w:jc w:val="center"/>
            </w:pPr>
            <w:r>
              <w:t>1.1.4.</w:t>
            </w:r>
          </w:p>
        </w:tc>
        <w:tc>
          <w:tcPr>
            <w:tcW w:w="2562" w:type="dxa"/>
            <w:vAlign w:val="center"/>
          </w:tcPr>
          <w:p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Обеспечение ТОСПов МФЦ транспортными услугами </w:t>
            </w:r>
          </w:p>
        </w:tc>
        <w:tc>
          <w:tcPr>
            <w:tcW w:w="789" w:type="dxa"/>
            <w:shd w:val="clear" w:color="auto" w:fill="auto"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776" w:type="dxa"/>
          </w:tcPr>
          <w:p>
            <w:pPr>
              <w:jc w:val="center"/>
              <w:rPr>
                <w:bCs/>
              </w:rPr>
            </w:pPr>
          </w:p>
        </w:tc>
        <w:tc>
          <w:tcPr>
            <w:tcW w:w="776" w:type="dxa"/>
          </w:tcPr>
          <w:p>
            <w:pPr>
              <w:jc w:val="center"/>
              <w:rPr>
                <w:bCs/>
              </w:rPr>
            </w:pPr>
          </w:p>
        </w:tc>
        <w:tc>
          <w:tcPr>
            <w:tcW w:w="1303" w:type="dxa"/>
          </w:tcPr>
          <w:p>
            <w:pPr>
              <w:jc w:val="center"/>
              <w:rPr>
                <w:bCs/>
              </w:rPr>
            </w:pPr>
          </w:p>
        </w:tc>
        <w:tc>
          <w:tcPr>
            <w:tcW w:w="1582" w:type="dxa"/>
          </w:tcPr>
          <w:p>
            <w:pPr>
              <w:jc w:val="center"/>
              <w:rPr>
                <w:bCs/>
              </w:rPr>
            </w:pPr>
          </w:p>
        </w:tc>
        <w:tc>
          <w:tcPr>
            <w:tcW w:w="1881" w:type="dxa"/>
          </w:tcPr>
          <w:p>
            <w:pPr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7" w:type="dxa"/>
            <w:vAlign w:val="center"/>
          </w:tcPr>
          <w:p>
            <w:pPr>
              <w:jc w:val="center"/>
            </w:pPr>
            <w:r>
              <w:t>1.1.5.</w:t>
            </w:r>
          </w:p>
        </w:tc>
        <w:tc>
          <w:tcPr>
            <w:tcW w:w="2562" w:type="dxa"/>
            <w:vAlign w:val="center"/>
          </w:tcPr>
          <w:p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Обеспечение ТОСПов МФЦ коммунальными услуги </w:t>
            </w:r>
          </w:p>
        </w:tc>
        <w:tc>
          <w:tcPr>
            <w:tcW w:w="789" w:type="dxa"/>
            <w:shd w:val="clear" w:color="auto" w:fill="auto"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776" w:type="dxa"/>
          </w:tcPr>
          <w:p>
            <w:pPr>
              <w:jc w:val="center"/>
              <w:rPr>
                <w:bCs/>
              </w:rPr>
            </w:pPr>
          </w:p>
        </w:tc>
        <w:tc>
          <w:tcPr>
            <w:tcW w:w="776" w:type="dxa"/>
          </w:tcPr>
          <w:p>
            <w:pPr>
              <w:jc w:val="center"/>
              <w:rPr>
                <w:bCs/>
              </w:rPr>
            </w:pPr>
          </w:p>
        </w:tc>
        <w:tc>
          <w:tcPr>
            <w:tcW w:w="1303" w:type="dxa"/>
          </w:tcPr>
          <w:p>
            <w:pPr>
              <w:jc w:val="center"/>
              <w:rPr>
                <w:bCs/>
              </w:rPr>
            </w:pPr>
          </w:p>
        </w:tc>
        <w:tc>
          <w:tcPr>
            <w:tcW w:w="1582" w:type="dxa"/>
          </w:tcPr>
          <w:p>
            <w:pPr>
              <w:jc w:val="center"/>
              <w:rPr>
                <w:bCs/>
              </w:rPr>
            </w:pPr>
          </w:p>
        </w:tc>
        <w:tc>
          <w:tcPr>
            <w:tcW w:w="1881" w:type="dxa"/>
          </w:tcPr>
          <w:p>
            <w:pPr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7" w:type="dxa"/>
            <w:vAlign w:val="center"/>
          </w:tcPr>
          <w:p>
            <w:pPr>
              <w:jc w:val="center"/>
            </w:pPr>
            <w:r>
              <w:t>1.1.6.</w:t>
            </w:r>
          </w:p>
        </w:tc>
        <w:tc>
          <w:tcPr>
            <w:tcW w:w="2562" w:type="dxa"/>
            <w:vAlign w:val="center"/>
          </w:tcPr>
          <w:p>
            <w:pPr>
              <w:rPr>
                <w:szCs w:val="24"/>
              </w:rPr>
            </w:pPr>
            <w:r>
              <w:rPr>
                <w:szCs w:val="24"/>
              </w:rPr>
              <w:t>Ремонт светильников</w:t>
            </w:r>
          </w:p>
        </w:tc>
        <w:tc>
          <w:tcPr>
            <w:tcW w:w="789" w:type="dxa"/>
            <w:shd w:val="clear" w:color="auto" w:fill="auto"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776" w:type="dxa"/>
          </w:tcPr>
          <w:p>
            <w:pPr>
              <w:jc w:val="center"/>
              <w:rPr>
                <w:bCs/>
              </w:rPr>
            </w:pPr>
          </w:p>
        </w:tc>
        <w:tc>
          <w:tcPr>
            <w:tcW w:w="776" w:type="dxa"/>
          </w:tcPr>
          <w:p>
            <w:pPr>
              <w:jc w:val="center"/>
              <w:rPr>
                <w:bCs/>
              </w:rPr>
            </w:pPr>
          </w:p>
        </w:tc>
        <w:tc>
          <w:tcPr>
            <w:tcW w:w="1303" w:type="dxa"/>
          </w:tcPr>
          <w:p>
            <w:pPr>
              <w:jc w:val="center"/>
              <w:rPr>
                <w:bCs/>
              </w:rPr>
            </w:pPr>
          </w:p>
        </w:tc>
        <w:tc>
          <w:tcPr>
            <w:tcW w:w="1582" w:type="dxa"/>
          </w:tcPr>
          <w:p>
            <w:pPr>
              <w:jc w:val="center"/>
              <w:rPr>
                <w:bCs/>
              </w:rPr>
            </w:pPr>
          </w:p>
        </w:tc>
        <w:tc>
          <w:tcPr>
            <w:tcW w:w="1881" w:type="dxa"/>
          </w:tcPr>
          <w:p>
            <w:pPr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7" w:type="dxa"/>
            <w:vAlign w:val="center"/>
          </w:tcPr>
          <w:p>
            <w:pPr>
              <w:jc w:val="center"/>
            </w:pPr>
            <w:r>
              <w:t>1.1.7.</w:t>
            </w:r>
          </w:p>
        </w:tc>
        <w:tc>
          <w:tcPr>
            <w:tcW w:w="2562" w:type="dxa"/>
            <w:vAlign w:val="center"/>
          </w:tcPr>
          <w:p>
            <w:pPr>
              <w:rPr>
                <w:szCs w:val="24"/>
              </w:rPr>
            </w:pPr>
            <w:r>
              <w:rPr>
                <w:szCs w:val="24"/>
              </w:rPr>
              <w:t xml:space="preserve">Вывоз мусора  </w:t>
            </w:r>
          </w:p>
        </w:tc>
        <w:tc>
          <w:tcPr>
            <w:tcW w:w="789" w:type="dxa"/>
            <w:shd w:val="clear" w:color="auto" w:fill="auto"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776" w:type="dxa"/>
          </w:tcPr>
          <w:p>
            <w:pPr>
              <w:jc w:val="center"/>
              <w:rPr>
                <w:bCs/>
              </w:rPr>
            </w:pPr>
          </w:p>
        </w:tc>
        <w:tc>
          <w:tcPr>
            <w:tcW w:w="776" w:type="dxa"/>
          </w:tcPr>
          <w:p>
            <w:pPr>
              <w:jc w:val="center"/>
              <w:rPr>
                <w:bCs/>
              </w:rPr>
            </w:pPr>
          </w:p>
        </w:tc>
        <w:tc>
          <w:tcPr>
            <w:tcW w:w="1303" w:type="dxa"/>
          </w:tcPr>
          <w:p>
            <w:pPr>
              <w:jc w:val="center"/>
              <w:rPr>
                <w:bCs/>
              </w:rPr>
            </w:pPr>
          </w:p>
        </w:tc>
        <w:tc>
          <w:tcPr>
            <w:tcW w:w="1582" w:type="dxa"/>
          </w:tcPr>
          <w:p>
            <w:pPr>
              <w:jc w:val="center"/>
              <w:rPr>
                <w:bCs/>
              </w:rPr>
            </w:pPr>
          </w:p>
        </w:tc>
        <w:tc>
          <w:tcPr>
            <w:tcW w:w="1881" w:type="dxa"/>
          </w:tcPr>
          <w:p>
            <w:pPr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7" w:type="dxa"/>
            <w:vAlign w:val="center"/>
          </w:tcPr>
          <w:p>
            <w:pPr>
              <w:jc w:val="center"/>
            </w:pPr>
            <w:r>
              <w:t>1.1.8.</w:t>
            </w:r>
          </w:p>
        </w:tc>
        <w:tc>
          <w:tcPr>
            <w:tcW w:w="2562" w:type="dxa"/>
            <w:vAlign w:val="center"/>
          </w:tcPr>
          <w:p>
            <w:pPr>
              <w:rPr>
                <w:szCs w:val="24"/>
              </w:rPr>
            </w:pPr>
            <w:r>
              <w:rPr>
                <w:szCs w:val="24"/>
              </w:rPr>
              <w:t xml:space="preserve">Обслуживание программы 1С «Бухгалтерия» </w:t>
            </w:r>
          </w:p>
        </w:tc>
        <w:tc>
          <w:tcPr>
            <w:tcW w:w="789" w:type="dxa"/>
            <w:shd w:val="clear" w:color="auto" w:fill="auto"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776" w:type="dxa"/>
          </w:tcPr>
          <w:p>
            <w:pPr>
              <w:jc w:val="center"/>
              <w:rPr>
                <w:bCs/>
              </w:rPr>
            </w:pPr>
          </w:p>
        </w:tc>
        <w:tc>
          <w:tcPr>
            <w:tcW w:w="776" w:type="dxa"/>
          </w:tcPr>
          <w:p>
            <w:pPr>
              <w:jc w:val="center"/>
              <w:rPr>
                <w:bCs/>
              </w:rPr>
            </w:pPr>
          </w:p>
        </w:tc>
        <w:tc>
          <w:tcPr>
            <w:tcW w:w="1303" w:type="dxa"/>
          </w:tcPr>
          <w:p>
            <w:pPr>
              <w:jc w:val="center"/>
              <w:rPr>
                <w:bCs/>
              </w:rPr>
            </w:pPr>
          </w:p>
        </w:tc>
        <w:tc>
          <w:tcPr>
            <w:tcW w:w="1582" w:type="dxa"/>
          </w:tcPr>
          <w:p>
            <w:pPr>
              <w:jc w:val="center"/>
              <w:rPr>
                <w:bCs/>
              </w:rPr>
            </w:pPr>
          </w:p>
        </w:tc>
        <w:tc>
          <w:tcPr>
            <w:tcW w:w="1881" w:type="dxa"/>
          </w:tcPr>
          <w:p>
            <w:pPr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7" w:type="dxa"/>
            <w:vAlign w:val="center"/>
          </w:tcPr>
          <w:p>
            <w:pPr>
              <w:jc w:val="center"/>
            </w:pPr>
            <w:r>
              <w:t>1.1.9.</w:t>
            </w:r>
          </w:p>
        </w:tc>
        <w:tc>
          <w:tcPr>
            <w:tcW w:w="2562" w:type="dxa"/>
            <w:vAlign w:val="center"/>
          </w:tcPr>
          <w:p>
            <w:pPr>
              <w:rPr>
                <w:szCs w:val="24"/>
              </w:rPr>
            </w:pPr>
            <w:r>
              <w:rPr>
                <w:szCs w:val="24"/>
              </w:rPr>
              <w:t xml:space="preserve">СБИС (Электронная отчетность) </w:t>
            </w:r>
          </w:p>
        </w:tc>
        <w:tc>
          <w:tcPr>
            <w:tcW w:w="789" w:type="dxa"/>
            <w:shd w:val="clear" w:color="auto" w:fill="auto"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776" w:type="dxa"/>
          </w:tcPr>
          <w:p>
            <w:pPr>
              <w:jc w:val="center"/>
              <w:rPr>
                <w:bCs/>
              </w:rPr>
            </w:pPr>
          </w:p>
        </w:tc>
        <w:tc>
          <w:tcPr>
            <w:tcW w:w="776" w:type="dxa"/>
          </w:tcPr>
          <w:p>
            <w:pPr>
              <w:jc w:val="center"/>
              <w:rPr>
                <w:bCs/>
              </w:rPr>
            </w:pPr>
          </w:p>
        </w:tc>
        <w:tc>
          <w:tcPr>
            <w:tcW w:w="1303" w:type="dxa"/>
          </w:tcPr>
          <w:p>
            <w:pPr>
              <w:jc w:val="center"/>
              <w:rPr>
                <w:bCs/>
              </w:rPr>
            </w:pPr>
          </w:p>
        </w:tc>
        <w:tc>
          <w:tcPr>
            <w:tcW w:w="1582" w:type="dxa"/>
          </w:tcPr>
          <w:p>
            <w:pPr>
              <w:jc w:val="center"/>
              <w:rPr>
                <w:bCs/>
              </w:rPr>
            </w:pPr>
          </w:p>
        </w:tc>
        <w:tc>
          <w:tcPr>
            <w:tcW w:w="1881" w:type="dxa"/>
          </w:tcPr>
          <w:p>
            <w:pPr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7" w:type="dxa"/>
            <w:vAlign w:val="center"/>
          </w:tcPr>
          <w:p>
            <w:pPr>
              <w:jc w:val="center"/>
            </w:pPr>
            <w:r>
              <w:t>1.1.10.</w:t>
            </w:r>
          </w:p>
        </w:tc>
        <w:tc>
          <w:tcPr>
            <w:tcW w:w="2562" w:type="dxa"/>
            <w:vAlign w:val="center"/>
          </w:tcPr>
          <w:p>
            <w:pPr>
              <w:rPr>
                <w:szCs w:val="24"/>
              </w:rPr>
            </w:pPr>
            <w:r>
              <w:rPr>
                <w:szCs w:val="24"/>
              </w:rPr>
              <w:t xml:space="preserve">Проведение предрейсовых осмотров </w:t>
            </w:r>
          </w:p>
        </w:tc>
        <w:tc>
          <w:tcPr>
            <w:tcW w:w="789" w:type="dxa"/>
            <w:shd w:val="clear" w:color="auto" w:fill="auto"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776" w:type="dxa"/>
          </w:tcPr>
          <w:p>
            <w:pPr>
              <w:jc w:val="center"/>
              <w:rPr>
                <w:bCs/>
              </w:rPr>
            </w:pPr>
          </w:p>
        </w:tc>
        <w:tc>
          <w:tcPr>
            <w:tcW w:w="776" w:type="dxa"/>
          </w:tcPr>
          <w:p>
            <w:pPr>
              <w:jc w:val="center"/>
              <w:rPr>
                <w:bCs/>
              </w:rPr>
            </w:pPr>
          </w:p>
        </w:tc>
        <w:tc>
          <w:tcPr>
            <w:tcW w:w="1303" w:type="dxa"/>
          </w:tcPr>
          <w:p>
            <w:pPr>
              <w:jc w:val="center"/>
              <w:rPr>
                <w:bCs/>
              </w:rPr>
            </w:pPr>
          </w:p>
        </w:tc>
        <w:tc>
          <w:tcPr>
            <w:tcW w:w="1582" w:type="dxa"/>
          </w:tcPr>
          <w:p>
            <w:pPr>
              <w:jc w:val="center"/>
              <w:rPr>
                <w:bCs/>
              </w:rPr>
            </w:pPr>
          </w:p>
        </w:tc>
        <w:tc>
          <w:tcPr>
            <w:tcW w:w="1881" w:type="dxa"/>
          </w:tcPr>
          <w:p>
            <w:pPr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7" w:type="dxa"/>
            <w:vAlign w:val="center"/>
          </w:tcPr>
          <w:p>
            <w:pPr>
              <w:jc w:val="center"/>
            </w:pPr>
            <w:r>
              <w:t>1.1.11.</w:t>
            </w:r>
          </w:p>
        </w:tc>
        <w:tc>
          <w:tcPr>
            <w:tcW w:w="2562" w:type="dxa"/>
            <w:vAlign w:val="center"/>
          </w:tcPr>
          <w:p>
            <w:pPr>
              <w:rPr>
                <w:szCs w:val="24"/>
              </w:rPr>
            </w:pPr>
            <w:r>
              <w:rPr>
                <w:szCs w:val="24"/>
              </w:rPr>
              <w:t xml:space="preserve">ОСАГО  автомобилей </w:t>
            </w:r>
          </w:p>
        </w:tc>
        <w:tc>
          <w:tcPr>
            <w:tcW w:w="789" w:type="dxa"/>
            <w:shd w:val="clear" w:color="auto" w:fill="auto"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776" w:type="dxa"/>
          </w:tcPr>
          <w:p>
            <w:pPr>
              <w:jc w:val="center"/>
              <w:rPr>
                <w:bCs/>
              </w:rPr>
            </w:pPr>
          </w:p>
        </w:tc>
        <w:tc>
          <w:tcPr>
            <w:tcW w:w="776" w:type="dxa"/>
          </w:tcPr>
          <w:p>
            <w:pPr>
              <w:jc w:val="center"/>
              <w:rPr>
                <w:bCs/>
              </w:rPr>
            </w:pPr>
          </w:p>
        </w:tc>
        <w:tc>
          <w:tcPr>
            <w:tcW w:w="1303" w:type="dxa"/>
          </w:tcPr>
          <w:p>
            <w:pPr>
              <w:jc w:val="center"/>
              <w:rPr>
                <w:bCs/>
              </w:rPr>
            </w:pPr>
          </w:p>
        </w:tc>
        <w:tc>
          <w:tcPr>
            <w:tcW w:w="1582" w:type="dxa"/>
          </w:tcPr>
          <w:p>
            <w:pPr>
              <w:jc w:val="center"/>
              <w:rPr>
                <w:bCs/>
              </w:rPr>
            </w:pPr>
          </w:p>
        </w:tc>
        <w:tc>
          <w:tcPr>
            <w:tcW w:w="1881" w:type="dxa"/>
          </w:tcPr>
          <w:p>
            <w:pPr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7" w:type="dxa"/>
            <w:vAlign w:val="center"/>
          </w:tcPr>
          <w:p>
            <w:pPr>
              <w:jc w:val="center"/>
            </w:pPr>
            <w:r>
              <w:t>1.1.12.</w:t>
            </w:r>
          </w:p>
        </w:tc>
        <w:tc>
          <w:tcPr>
            <w:tcW w:w="2562" w:type="dxa"/>
            <w:vAlign w:val="center"/>
          </w:tcPr>
          <w:p>
            <w:pPr>
              <w:rPr>
                <w:szCs w:val="24"/>
              </w:rPr>
            </w:pPr>
            <w:r>
              <w:rPr>
                <w:szCs w:val="24"/>
              </w:rPr>
              <w:t>Налог на имущество</w:t>
            </w:r>
          </w:p>
        </w:tc>
        <w:tc>
          <w:tcPr>
            <w:tcW w:w="789" w:type="dxa"/>
            <w:shd w:val="clear" w:color="auto" w:fill="auto"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776" w:type="dxa"/>
          </w:tcPr>
          <w:p>
            <w:pPr>
              <w:jc w:val="center"/>
              <w:rPr>
                <w:bCs/>
              </w:rPr>
            </w:pPr>
          </w:p>
        </w:tc>
        <w:tc>
          <w:tcPr>
            <w:tcW w:w="776" w:type="dxa"/>
          </w:tcPr>
          <w:p>
            <w:pPr>
              <w:jc w:val="center"/>
              <w:rPr>
                <w:bCs/>
              </w:rPr>
            </w:pPr>
          </w:p>
        </w:tc>
        <w:tc>
          <w:tcPr>
            <w:tcW w:w="1303" w:type="dxa"/>
          </w:tcPr>
          <w:p>
            <w:pPr>
              <w:jc w:val="center"/>
              <w:rPr>
                <w:bCs/>
              </w:rPr>
            </w:pPr>
          </w:p>
        </w:tc>
        <w:tc>
          <w:tcPr>
            <w:tcW w:w="1582" w:type="dxa"/>
          </w:tcPr>
          <w:p>
            <w:pPr>
              <w:jc w:val="center"/>
              <w:rPr>
                <w:bCs/>
              </w:rPr>
            </w:pPr>
          </w:p>
        </w:tc>
        <w:tc>
          <w:tcPr>
            <w:tcW w:w="1881" w:type="dxa"/>
          </w:tcPr>
          <w:p>
            <w:pPr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7" w:type="dxa"/>
            <w:vAlign w:val="center"/>
          </w:tcPr>
          <w:p>
            <w:pPr>
              <w:jc w:val="center"/>
            </w:pPr>
            <w:r>
              <w:t>1.1.13.</w:t>
            </w:r>
          </w:p>
        </w:tc>
        <w:tc>
          <w:tcPr>
            <w:tcW w:w="2562" w:type="dxa"/>
            <w:vAlign w:val="center"/>
          </w:tcPr>
          <w:p>
            <w:pPr>
              <w:rPr>
                <w:szCs w:val="24"/>
              </w:rPr>
            </w:pPr>
            <w:r>
              <w:rPr>
                <w:szCs w:val="24"/>
              </w:rPr>
              <w:t>Транспортный налог</w:t>
            </w:r>
          </w:p>
        </w:tc>
        <w:tc>
          <w:tcPr>
            <w:tcW w:w="789" w:type="dxa"/>
            <w:shd w:val="clear" w:color="auto" w:fill="auto"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776" w:type="dxa"/>
          </w:tcPr>
          <w:p>
            <w:pPr>
              <w:jc w:val="center"/>
              <w:rPr>
                <w:bCs/>
              </w:rPr>
            </w:pPr>
          </w:p>
        </w:tc>
        <w:tc>
          <w:tcPr>
            <w:tcW w:w="776" w:type="dxa"/>
          </w:tcPr>
          <w:p>
            <w:pPr>
              <w:jc w:val="center"/>
              <w:rPr>
                <w:bCs/>
              </w:rPr>
            </w:pPr>
          </w:p>
        </w:tc>
        <w:tc>
          <w:tcPr>
            <w:tcW w:w="1303" w:type="dxa"/>
          </w:tcPr>
          <w:p>
            <w:pPr>
              <w:jc w:val="center"/>
              <w:rPr>
                <w:bCs/>
              </w:rPr>
            </w:pPr>
          </w:p>
        </w:tc>
        <w:tc>
          <w:tcPr>
            <w:tcW w:w="1582" w:type="dxa"/>
          </w:tcPr>
          <w:p>
            <w:pPr>
              <w:jc w:val="center"/>
              <w:rPr>
                <w:bCs/>
              </w:rPr>
            </w:pPr>
          </w:p>
        </w:tc>
        <w:tc>
          <w:tcPr>
            <w:tcW w:w="1881" w:type="dxa"/>
          </w:tcPr>
          <w:p>
            <w:pPr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7" w:type="dxa"/>
            <w:vAlign w:val="center"/>
          </w:tcPr>
          <w:p>
            <w:pPr>
              <w:jc w:val="center"/>
            </w:pPr>
            <w:r>
              <w:t>1.1.14.</w:t>
            </w:r>
          </w:p>
        </w:tc>
        <w:tc>
          <w:tcPr>
            <w:tcW w:w="2562" w:type="dxa"/>
            <w:vAlign w:val="center"/>
          </w:tcPr>
          <w:p>
            <w:pPr>
              <w:rPr>
                <w:szCs w:val="24"/>
              </w:rPr>
            </w:pPr>
            <w:r>
              <w:rPr>
                <w:szCs w:val="24"/>
              </w:rPr>
              <w:t xml:space="preserve">Плата за негативное воздействие на окружающую  среду </w:t>
            </w:r>
          </w:p>
        </w:tc>
        <w:tc>
          <w:tcPr>
            <w:tcW w:w="789" w:type="dxa"/>
            <w:shd w:val="clear" w:color="auto" w:fill="auto"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776" w:type="dxa"/>
          </w:tcPr>
          <w:p>
            <w:pPr>
              <w:jc w:val="center"/>
              <w:rPr>
                <w:bCs/>
              </w:rPr>
            </w:pPr>
          </w:p>
        </w:tc>
        <w:tc>
          <w:tcPr>
            <w:tcW w:w="776" w:type="dxa"/>
          </w:tcPr>
          <w:p>
            <w:pPr>
              <w:jc w:val="center"/>
              <w:rPr>
                <w:bCs/>
              </w:rPr>
            </w:pPr>
          </w:p>
        </w:tc>
        <w:tc>
          <w:tcPr>
            <w:tcW w:w="1303" w:type="dxa"/>
          </w:tcPr>
          <w:p>
            <w:pPr>
              <w:jc w:val="center"/>
              <w:rPr>
                <w:bCs/>
              </w:rPr>
            </w:pPr>
          </w:p>
        </w:tc>
        <w:tc>
          <w:tcPr>
            <w:tcW w:w="1582" w:type="dxa"/>
          </w:tcPr>
          <w:p>
            <w:pPr>
              <w:jc w:val="center"/>
              <w:rPr>
                <w:bCs/>
              </w:rPr>
            </w:pPr>
          </w:p>
        </w:tc>
        <w:tc>
          <w:tcPr>
            <w:tcW w:w="1881" w:type="dxa"/>
          </w:tcPr>
          <w:p>
            <w:pPr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7" w:type="dxa"/>
            <w:vAlign w:val="center"/>
          </w:tcPr>
          <w:p>
            <w:pPr>
              <w:jc w:val="center"/>
            </w:pPr>
            <w:r>
              <w:t>1.1.15.</w:t>
            </w:r>
          </w:p>
        </w:tc>
        <w:tc>
          <w:tcPr>
            <w:tcW w:w="2562" w:type="dxa"/>
            <w:vAlign w:val="center"/>
          </w:tcPr>
          <w:p>
            <w:pPr>
              <w:rPr>
                <w:szCs w:val="24"/>
              </w:rPr>
            </w:pPr>
            <w:r>
              <w:rPr>
                <w:szCs w:val="24"/>
              </w:rPr>
              <w:t xml:space="preserve">Приобретение ГСМ  </w:t>
            </w:r>
          </w:p>
        </w:tc>
        <w:tc>
          <w:tcPr>
            <w:tcW w:w="789" w:type="dxa"/>
            <w:shd w:val="clear" w:color="auto" w:fill="auto"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776" w:type="dxa"/>
          </w:tcPr>
          <w:p>
            <w:pPr>
              <w:jc w:val="center"/>
              <w:rPr>
                <w:bCs/>
              </w:rPr>
            </w:pPr>
          </w:p>
        </w:tc>
        <w:tc>
          <w:tcPr>
            <w:tcW w:w="776" w:type="dxa"/>
          </w:tcPr>
          <w:p>
            <w:pPr>
              <w:jc w:val="center"/>
              <w:rPr>
                <w:bCs/>
              </w:rPr>
            </w:pPr>
          </w:p>
        </w:tc>
        <w:tc>
          <w:tcPr>
            <w:tcW w:w="1303" w:type="dxa"/>
          </w:tcPr>
          <w:p>
            <w:pPr>
              <w:jc w:val="center"/>
              <w:rPr>
                <w:bCs/>
              </w:rPr>
            </w:pPr>
          </w:p>
        </w:tc>
        <w:tc>
          <w:tcPr>
            <w:tcW w:w="1582" w:type="dxa"/>
          </w:tcPr>
          <w:p>
            <w:pPr>
              <w:jc w:val="center"/>
              <w:rPr>
                <w:bCs/>
              </w:rPr>
            </w:pPr>
          </w:p>
        </w:tc>
        <w:tc>
          <w:tcPr>
            <w:tcW w:w="1881" w:type="dxa"/>
          </w:tcPr>
          <w:p>
            <w:pPr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7" w:type="dxa"/>
            <w:vAlign w:val="center"/>
          </w:tcPr>
          <w:p>
            <w:pPr>
              <w:jc w:val="center"/>
            </w:pPr>
            <w:r>
              <w:t>1.1.16.</w:t>
            </w:r>
          </w:p>
        </w:tc>
        <w:tc>
          <w:tcPr>
            <w:tcW w:w="2562" w:type="dxa"/>
            <w:vAlign w:val="center"/>
          </w:tcPr>
          <w:p>
            <w:pPr>
              <w:rPr>
                <w:szCs w:val="24"/>
              </w:rPr>
            </w:pPr>
            <w:r>
              <w:rPr>
                <w:szCs w:val="24"/>
              </w:rPr>
              <w:t xml:space="preserve">Покупка питьевой воды  </w:t>
            </w:r>
          </w:p>
        </w:tc>
        <w:tc>
          <w:tcPr>
            <w:tcW w:w="789" w:type="dxa"/>
            <w:shd w:val="clear" w:color="auto" w:fill="auto"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776" w:type="dxa"/>
          </w:tcPr>
          <w:p>
            <w:pPr>
              <w:jc w:val="center"/>
              <w:rPr>
                <w:bCs/>
              </w:rPr>
            </w:pPr>
          </w:p>
        </w:tc>
        <w:tc>
          <w:tcPr>
            <w:tcW w:w="776" w:type="dxa"/>
          </w:tcPr>
          <w:p>
            <w:pPr>
              <w:jc w:val="center"/>
              <w:rPr>
                <w:bCs/>
              </w:rPr>
            </w:pPr>
          </w:p>
        </w:tc>
        <w:tc>
          <w:tcPr>
            <w:tcW w:w="1303" w:type="dxa"/>
          </w:tcPr>
          <w:p>
            <w:pPr>
              <w:jc w:val="center"/>
              <w:rPr>
                <w:bCs/>
              </w:rPr>
            </w:pPr>
          </w:p>
        </w:tc>
        <w:tc>
          <w:tcPr>
            <w:tcW w:w="1582" w:type="dxa"/>
          </w:tcPr>
          <w:p>
            <w:pPr>
              <w:jc w:val="center"/>
              <w:rPr>
                <w:bCs/>
              </w:rPr>
            </w:pPr>
          </w:p>
        </w:tc>
        <w:tc>
          <w:tcPr>
            <w:tcW w:w="1881" w:type="dxa"/>
          </w:tcPr>
          <w:p>
            <w:pPr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7" w:type="dxa"/>
            <w:vAlign w:val="center"/>
          </w:tcPr>
          <w:p>
            <w:pPr>
              <w:jc w:val="center"/>
            </w:pPr>
            <w:r>
              <w:t>1.1.17.</w:t>
            </w:r>
          </w:p>
        </w:tc>
        <w:tc>
          <w:tcPr>
            <w:tcW w:w="2562" w:type="dxa"/>
            <w:vAlign w:val="center"/>
          </w:tcPr>
          <w:p>
            <w:pPr>
              <w:rPr>
                <w:szCs w:val="24"/>
              </w:rPr>
            </w:pPr>
            <w:r>
              <w:rPr>
                <w:szCs w:val="24"/>
              </w:rPr>
              <w:t xml:space="preserve">Приобретение бумаги     </w:t>
            </w:r>
          </w:p>
        </w:tc>
        <w:tc>
          <w:tcPr>
            <w:tcW w:w="789" w:type="dxa"/>
            <w:shd w:val="clear" w:color="auto" w:fill="auto"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776" w:type="dxa"/>
          </w:tcPr>
          <w:p>
            <w:pPr>
              <w:jc w:val="center"/>
              <w:rPr>
                <w:bCs/>
              </w:rPr>
            </w:pPr>
          </w:p>
        </w:tc>
        <w:tc>
          <w:tcPr>
            <w:tcW w:w="776" w:type="dxa"/>
          </w:tcPr>
          <w:p>
            <w:pPr>
              <w:jc w:val="center"/>
              <w:rPr>
                <w:bCs/>
              </w:rPr>
            </w:pPr>
          </w:p>
        </w:tc>
        <w:tc>
          <w:tcPr>
            <w:tcW w:w="1303" w:type="dxa"/>
          </w:tcPr>
          <w:p>
            <w:pPr>
              <w:jc w:val="center"/>
              <w:rPr>
                <w:bCs/>
              </w:rPr>
            </w:pPr>
          </w:p>
        </w:tc>
        <w:tc>
          <w:tcPr>
            <w:tcW w:w="1582" w:type="dxa"/>
          </w:tcPr>
          <w:p>
            <w:pPr>
              <w:jc w:val="center"/>
              <w:rPr>
                <w:bCs/>
              </w:rPr>
            </w:pPr>
          </w:p>
        </w:tc>
        <w:tc>
          <w:tcPr>
            <w:tcW w:w="1881" w:type="dxa"/>
          </w:tcPr>
          <w:p>
            <w:pPr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7" w:type="dxa"/>
            <w:vAlign w:val="center"/>
          </w:tcPr>
          <w:p>
            <w:pPr>
              <w:jc w:val="center"/>
            </w:pPr>
            <w:r>
              <w:t>1.1.18.</w:t>
            </w:r>
          </w:p>
        </w:tc>
        <w:tc>
          <w:tcPr>
            <w:tcW w:w="2562" w:type="dxa"/>
            <w:vAlign w:val="center"/>
          </w:tcPr>
          <w:p>
            <w:pPr>
              <w:rPr>
                <w:szCs w:val="24"/>
              </w:rPr>
            </w:pPr>
            <w:r>
              <w:rPr>
                <w:szCs w:val="24"/>
              </w:rPr>
              <w:t xml:space="preserve">Приобретение файлов       </w:t>
            </w:r>
          </w:p>
        </w:tc>
        <w:tc>
          <w:tcPr>
            <w:tcW w:w="789" w:type="dxa"/>
            <w:shd w:val="clear" w:color="auto" w:fill="auto"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776" w:type="dxa"/>
          </w:tcPr>
          <w:p>
            <w:pPr>
              <w:jc w:val="center"/>
              <w:rPr>
                <w:bCs/>
              </w:rPr>
            </w:pPr>
          </w:p>
        </w:tc>
        <w:tc>
          <w:tcPr>
            <w:tcW w:w="776" w:type="dxa"/>
          </w:tcPr>
          <w:p>
            <w:pPr>
              <w:jc w:val="center"/>
              <w:rPr>
                <w:bCs/>
              </w:rPr>
            </w:pPr>
          </w:p>
        </w:tc>
        <w:tc>
          <w:tcPr>
            <w:tcW w:w="1303" w:type="dxa"/>
          </w:tcPr>
          <w:p>
            <w:pPr>
              <w:jc w:val="center"/>
              <w:rPr>
                <w:bCs/>
              </w:rPr>
            </w:pPr>
          </w:p>
        </w:tc>
        <w:tc>
          <w:tcPr>
            <w:tcW w:w="1582" w:type="dxa"/>
          </w:tcPr>
          <w:p>
            <w:pPr>
              <w:jc w:val="center"/>
              <w:rPr>
                <w:bCs/>
              </w:rPr>
            </w:pPr>
          </w:p>
        </w:tc>
        <w:tc>
          <w:tcPr>
            <w:tcW w:w="1881" w:type="dxa"/>
          </w:tcPr>
          <w:p>
            <w:pPr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7" w:type="dxa"/>
            <w:vAlign w:val="center"/>
          </w:tcPr>
          <w:p>
            <w:pPr>
              <w:jc w:val="center"/>
            </w:pPr>
            <w:r>
              <w:t>1.1.19.</w:t>
            </w:r>
          </w:p>
        </w:tc>
        <w:tc>
          <w:tcPr>
            <w:tcW w:w="2562" w:type="dxa"/>
            <w:vAlign w:val="center"/>
          </w:tcPr>
          <w:p>
            <w:pPr>
              <w:rPr>
                <w:szCs w:val="24"/>
              </w:rPr>
            </w:pPr>
            <w:r>
              <w:rPr>
                <w:szCs w:val="24"/>
              </w:rPr>
              <w:t xml:space="preserve">Покупка канцтоваров </w:t>
            </w:r>
          </w:p>
        </w:tc>
        <w:tc>
          <w:tcPr>
            <w:tcW w:w="789" w:type="dxa"/>
            <w:shd w:val="clear" w:color="auto" w:fill="auto"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776" w:type="dxa"/>
          </w:tcPr>
          <w:p>
            <w:pPr>
              <w:jc w:val="center"/>
              <w:rPr>
                <w:bCs/>
              </w:rPr>
            </w:pPr>
          </w:p>
        </w:tc>
        <w:tc>
          <w:tcPr>
            <w:tcW w:w="776" w:type="dxa"/>
          </w:tcPr>
          <w:p>
            <w:pPr>
              <w:jc w:val="center"/>
              <w:rPr>
                <w:bCs/>
              </w:rPr>
            </w:pPr>
          </w:p>
        </w:tc>
        <w:tc>
          <w:tcPr>
            <w:tcW w:w="1303" w:type="dxa"/>
          </w:tcPr>
          <w:p>
            <w:pPr>
              <w:jc w:val="center"/>
              <w:rPr>
                <w:bCs/>
              </w:rPr>
            </w:pPr>
          </w:p>
        </w:tc>
        <w:tc>
          <w:tcPr>
            <w:tcW w:w="1582" w:type="dxa"/>
          </w:tcPr>
          <w:p>
            <w:pPr>
              <w:jc w:val="center"/>
              <w:rPr>
                <w:bCs/>
              </w:rPr>
            </w:pPr>
          </w:p>
        </w:tc>
        <w:tc>
          <w:tcPr>
            <w:tcW w:w="1881" w:type="dxa"/>
          </w:tcPr>
          <w:p>
            <w:pPr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7" w:type="dxa"/>
            <w:vAlign w:val="center"/>
          </w:tcPr>
          <w:p>
            <w:pPr>
              <w:jc w:val="center"/>
            </w:pPr>
            <w:r>
              <w:t>1.1.20.</w:t>
            </w:r>
          </w:p>
        </w:tc>
        <w:tc>
          <w:tcPr>
            <w:tcW w:w="2562" w:type="dxa"/>
            <w:vAlign w:val="center"/>
          </w:tcPr>
          <w:p>
            <w:pPr>
              <w:rPr>
                <w:szCs w:val="24"/>
              </w:rPr>
            </w:pPr>
            <w:r>
              <w:rPr>
                <w:szCs w:val="24"/>
              </w:rPr>
              <w:t xml:space="preserve">Покупка хозтоваров </w:t>
            </w:r>
          </w:p>
        </w:tc>
        <w:tc>
          <w:tcPr>
            <w:tcW w:w="789" w:type="dxa"/>
            <w:shd w:val="clear" w:color="auto" w:fill="auto"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776" w:type="dxa"/>
          </w:tcPr>
          <w:p>
            <w:pPr>
              <w:jc w:val="center"/>
              <w:rPr>
                <w:bCs/>
              </w:rPr>
            </w:pPr>
          </w:p>
        </w:tc>
        <w:tc>
          <w:tcPr>
            <w:tcW w:w="776" w:type="dxa"/>
          </w:tcPr>
          <w:p>
            <w:pPr>
              <w:jc w:val="center"/>
              <w:rPr>
                <w:bCs/>
              </w:rPr>
            </w:pPr>
          </w:p>
        </w:tc>
        <w:tc>
          <w:tcPr>
            <w:tcW w:w="1303" w:type="dxa"/>
          </w:tcPr>
          <w:p>
            <w:pPr>
              <w:jc w:val="center"/>
              <w:rPr>
                <w:bCs/>
              </w:rPr>
            </w:pPr>
          </w:p>
        </w:tc>
        <w:tc>
          <w:tcPr>
            <w:tcW w:w="1582" w:type="dxa"/>
          </w:tcPr>
          <w:p>
            <w:pPr>
              <w:jc w:val="center"/>
              <w:rPr>
                <w:bCs/>
              </w:rPr>
            </w:pPr>
          </w:p>
        </w:tc>
        <w:tc>
          <w:tcPr>
            <w:tcW w:w="1881" w:type="dxa"/>
          </w:tcPr>
          <w:p>
            <w:pPr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7" w:type="dxa"/>
            <w:vAlign w:val="center"/>
          </w:tcPr>
          <w:p>
            <w:pPr>
              <w:jc w:val="center"/>
            </w:pPr>
            <w:r>
              <w:t>1.1.21.</w:t>
            </w:r>
          </w:p>
        </w:tc>
        <w:tc>
          <w:tcPr>
            <w:tcW w:w="2562" w:type="dxa"/>
            <w:vAlign w:val="center"/>
          </w:tcPr>
          <w:p>
            <w:pPr>
              <w:rPr>
                <w:szCs w:val="24"/>
              </w:rPr>
            </w:pPr>
            <w:r>
              <w:rPr>
                <w:szCs w:val="24"/>
              </w:rPr>
              <w:t xml:space="preserve">Покупка бланков      </w:t>
            </w:r>
          </w:p>
        </w:tc>
        <w:tc>
          <w:tcPr>
            <w:tcW w:w="789" w:type="dxa"/>
            <w:shd w:val="clear" w:color="auto" w:fill="auto"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776" w:type="dxa"/>
          </w:tcPr>
          <w:p>
            <w:pPr>
              <w:jc w:val="center"/>
              <w:rPr>
                <w:bCs/>
              </w:rPr>
            </w:pPr>
          </w:p>
        </w:tc>
        <w:tc>
          <w:tcPr>
            <w:tcW w:w="776" w:type="dxa"/>
          </w:tcPr>
          <w:p>
            <w:pPr>
              <w:jc w:val="center"/>
              <w:rPr>
                <w:bCs/>
              </w:rPr>
            </w:pPr>
          </w:p>
        </w:tc>
        <w:tc>
          <w:tcPr>
            <w:tcW w:w="1303" w:type="dxa"/>
          </w:tcPr>
          <w:p>
            <w:pPr>
              <w:jc w:val="center"/>
              <w:rPr>
                <w:bCs/>
              </w:rPr>
            </w:pPr>
          </w:p>
        </w:tc>
        <w:tc>
          <w:tcPr>
            <w:tcW w:w="1582" w:type="dxa"/>
          </w:tcPr>
          <w:p>
            <w:pPr>
              <w:jc w:val="center"/>
              <w:rPr>
                <w:bCs/>
              </w:rPr>
            </w:pPr>
          </w:p>
        </w:tc>
        <w:tc>
          <w:tcPr>
            <w:tcW w:w="1881" w:type="dxa"/>
          </w:tcPr>
          <w:p>
            <w:pPr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7" w:type="dxa"/>
            <w:vAlign w:val="center"/>
          </w:tcPr>
          <w:p>
            <w:pPr>
              <w:jc w:val="center"/>
            </w:pPr>
            <w:r>
              <w:t>1.1.22.</w:t>
            </w:r>
          </w:p>
        </w:tc>
        <w:tc>
          <w:tcPr>
            <w:tcW w:w="2562" w:type="dxa"/>
            <w:vAlign w:val="center"/>
          </w:tcPr>
          <w:p>
            <w:pPr>
              <w:rPr>
                <w:szCs w:val="24"/>
              </w:rPr>
            </w:pPr>
            <w:r>
              <w:rPr>
                <w:szCs w:val="24"/>
              </w:rPr>
              <w:t>Количество предоставленных услуг</w:t>
            </w:r>
          </w:p>
        </w:tc>
        <w:tc>
          <w:tcPr>
            <w:tcW w:w="789" w:type="dxa"/>
            <w:shd w:val="clear" w:color="auto" w:fill="auto"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776" w:type="dxa"/>
          </w:tcPr>
          <w:p>
            <w:pPr>
              <w:jc w:val="center"/>
              <w:rPr>
                <w:bCs/>
              </w:rPr>
            </w:pPr>
          </w:p>
        </w:tc>
        <w:tc>
          <w:tcPr>
            <w:tcW w:w="776" w:type="dxa"/>
          </w:tcPr>
          <w:p>
            <w:pPr>
              <w:jc w:val="center"/>
              <w:rPr>
                <w:bCs/>
              </w:rPr>
            </w:pPr>
          </w:p>
        </w:tc>
        <w:tc>
          <w:tcPr>
            <w:tcW w:w="1303" w:type="dxa"/>
          </w:tcPr>
          <w:p>
            <w:pPr>
              <w:jc w:val="center"/>
              <w:rPr>
                <w:bCs/>
              </w:rPr>
            </w:pPr>
          </w:p>
        </w:tc>
        <w:tc>
          <w:tcPr>
            <w:tcW w:w="1582" w:type="dxa"/>
          </w:tcPr>
          <w:p>
            <w:pPr>
              <w:jc w:val="center"/>
              <w:rPr>
                <w:bCs/>
              </w:rPr>
            </w:pPr>
          </w:p>
        </w:tc>
        <w:tc>
          <w:tcPr>
            <w:tcW w:w="1881" w:type="dxa"/>
          </w:tcPr>
          <w:p>
            <w:pPr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7" w:type="dxa"/>
            <w:vAlign w:val="center"/>
          </w:tcPr>
          <w:p>
            <w:pPr>
              <w:jc w:val="center"/>
            </w:pPr>
            <w:r>
              <w:t>1.1.23.</w:t>
            </w:r>
          </w:p>
        </w:tc>
        <w:tc>
          <w:tcPr>
            <w:tcW w:w="2562" w:type="dxa"/>
            <w:vAlign w:val="center"/>
          </w:tcPr>
          <w:p>
            <w:pPr>
              <w:rPr>
                <w:szCs w:val="24"/>
              </w:rPr>
            </w:pPr>
            <w:r>
              <w:rPr>
                <w:szCs w:val="24"/>
              </w:rPr>
              <w:t>Количество предоставленных консультаций по оказанию государственных и муниципальных услуг</w:t>
            </w:r>
          </w:p>
        </w:tc>
        <w:tc>
          <w:tcPr>
            <w:tcW w:w="789" w:type="dxa"/>
            <w:shd w:val="clear" w:color="auto" w:fill="auto"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776" w:type="dxa"/>
          </w:tcPr>
          <w:p>
            <w:pPr>
              <w:jc w:val="center"/>
              <w:rPr>
                <w:bCs/>
              </w:rPr>
            </w:pPr>
          </w:p>
        </w:tc>
        <w:tc>
          <w:tcPr>
            <w:tcW w:w="776" w:type="dxa"/>
          </w:tcPr>
          <w:p>
            <w:pPr>
              <w:jc w:val="center"/>
              <w:rPr>
                <w:bCs/>
              </w:rPr>
            </w:pPr>
          </w:p>
        </w:tc>
        <w:tc>
          <w:tcPr>
            <w:tcW w:w="1303" w:type="dxa"/>
          </w:tcPr>
          <w:p>
            <w:pPr>
              <w:jc w:val="center"/>
              <w:rPr>
                <w:bCs/>
              </w:rPr>
            </w:pPr>
          </w:p>
        </w:tc>
        <w:tc>
          <w:tcPr>
            <w:tcW w:w="1582" w:type="dxa"/>
          </w:tcPr>
          <w:p>
            <w:pPr>
              <w:jc w:val="center"/>
              <w:rPr>
                <w:bCs/>
              </w:rPr>
            </w:pPr>
          </w:p>
        </w:tc>
        <w:tc>
          <w:tcPr>
            <w:tcW w:w="1881" w:type="dxa"/>
          </w:tcPr>
          <w:p>
            <w:pPr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7" w:type="dxa"/>
            <w:vAlign w:val="center"/>
          </w:tcPr>
          <w:p>
            <w:pPr>
              <w:jc w:val="center"/>
            </w:pPr>
            <w:r>
              <w:t>1.1.24.</w:t>
            </w:r>
          </w:p>
        </w:tc>
        <w:tc>
          <w:tcPr>
            <w:tcW w:w="2562" w:type="dxa"/>
            <w:vAlign w:val="center"/>
          </w:tcPr>
          <w:p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Приобретение светильников </w:t>
            </w:r>
          </w:p>
        </w:tc>
        <w:tc>
          <w:tcPr>
            <w:tcW w:w="789" w:type="dxa"/>
            <w:shd w:val="clear" w:color="auto" w:fill="auto"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776" w:type="dxa"/>
          </w:tcPr>
          <w:p>
            <w:pPr>
              <w:jc w:val="center"/>
              <w:rPr>
                <w:bCs/>
              </w:rPr>
            </w:pPr>
          </w:p>
        </w:tc>
        <w:tc>
          <w:tcPr>
            <w:tcW w:w="776" w:type="dxa"/>
          </w:tcPr>
          <w:p>
            <w:pPr>
              <w:jc w:val="center"/>
              <w:rPr>
                <w:bCs/>
              </w:rPr>
            </w:pPr>
          </w:p>
        </w:tc>
        <w:tc>
          <w:tcPr>
            <w:tcW w:w="1303" w:type="dxa"/>
          </w:tcPr>
          <w:p>
            <w:pPr>
              <w:jc w:val="center"/>
              <w:rPr>
                <w:bCs/>
              </w:rPr>
            </w:pPr>
          </w:p>
        </w:tc>
        <w:tc>
          <w:tcPr>
            <w:tcW w:w="1582" w:type="dxa"/>
          </w:tcPr>
          <w:p>
            <w:pPr>
              <w:jc w:val="center"/>
              <w:rPr>
                <w:bCs/>
              </w:rPr>
            </w:pPr>
          </w:p>
        </w:tc>
        <w:tc>
          <w:tcPr>
            <w:tcW w:w="1881" w:type="dxa"/>
          </w:tcPr>
          <w:p>
            <w:pPr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7" w:type="dxa"/>
            <w:vAlign w:val="center"/>
          </w:tcPr>
          <w:p>
            <w:pPr>
              <w:jc w:val="center"/>
            </w:pPr>
            <w:r>
              <w:t>1.1.25.</w:t>
            </w:r>
          </w:p>
        </w:tc>
        <w:tc>
          <w:tcPr>
            <w:tcW w:w="2562" w:type="dxa"/>
            <w:vAlign w:val="center"/>
          </w:tcPr>
          <w:p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Профосмотр сотрудников</w:t>
            </w:r>
          </w:p>
        </w:tc>
        <w:tc>
          <w:tcPr>
            <w:tcW w:w="789" w:type="dxa"/>
            <w:shd w:val="clear" w:color="auto" w:fill="auto"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776" w:type="dxa"/>
          </w:tcPr>
          <w:p>
            <w:pPr>
              <w:jc w:val="center"/>
              <w:rPr>
                <w:bCs/>
              </w:rPr>
            </w:pPr>
          </w:p>
        </w:tc>
        <w:tc>
          <w:tcPr>
            <w:tcW w:w="776" w:type="dxa"/>
          </w:tcPr>
          <w:p>
            <w:pPr>
              <w:jc w:val="center"/>
              <w:rPr>
                <w:bCs/>
              </w:rPr>
            </w:pPr>
          </w:p>
        </w:tc>
        <w:tc>
          <w:tcPr>
            <w:tcW w:w="1303" w:type="dxa"/>
          </w:tcPr>
          <w:p>
            <w:pPr>
              <w:jc w:val="center"/>
              <w:rPr>
                <w:bCs/>
              </w:rPr>
            </w:pPr>
          </w:p>
        </w:tc>
        <w:tc>
          <w:tcPr>
            <w:tcW w:w="1582" w:type="dxa"/>
          </w:tcPr>
          <w:p>
            <w:pPr>
              <w:jc w:val="center"/>
              <w:rPr>
                <w:bCs/>
              </w:rPr>
            </w:pPr>
          </w:p>
        </w:tc>
        <w:tc>
          <w:tcPr>
            <w:tcW w:w="1881" w:type="dxa"/>
          </w:tcPr>
          <w:p>
            <w:pPr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7" w:type="dxa"/>
            <w:vAlign w:val="center"/>
          </w:tcPr>
          <w:p>
            <w:pPr>
              <w:jc w:val="center"/>
            </w:pPr>
            <w:r>
              <w:t>1.1.26.</w:t>
            </w:r>
          </w:p>
        </w:tc>
        <w:tc>
          <w:tcPr>
            <w:tcW w:w="2562" w:type="dxa"/>
            <w:vAlign w:val="center"/>
          </w:tcPr>
          <w:p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Приобретение СКЗИ </w:t>
            </w:r>
          </w:p>
        </w:tc>
        <w:tc>
          <w:tcPr>
            <w:tcW w:w="789" w:type="dxa"/>
            <w:shd w:val="clear" w:color="auto" w:fill="auto"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776" w:type="dxa"/>
          </w:tcPr>
          <w:p>
            <w:pPr>
              <w:jc w:val="center"/>
              <w:rPr>
                <w:bCs/>
              </w:rPr>
            </w:pPr>
          </w:p>
        </w:tc>
        <w:tc>
          <w:tcPr>
            <w:tcW w:w="776" w:type="dxa"/>
          </w:tcPr>
          <w:p>
            <w:pPr>
              <w:jc w:val="center"/>
              <w:rPr>
                <w:bCs/>
              </w:rPr>
            </w:pPr>
          </w:p>
        </w:tc>
        <w:tc>
          <w:tcPr>
            <w:tcW w:w="1303" w:type="dxa"/>
          </w:tcPr>
          <w:p>
            <w:pPr>
              <w:jc w:val="center"/>
              <w:rPr>
                <w:bCs/>
              </w:rPr>
            </w:pPr>
          </w:p>
        </w:tc>
        <w:tc>
          <w:tcPr>
            <w:tcW w:w="1582" w:type="dxa"/>
          </w:tcPr>
          <w:p>
            <w:pPr>
              <w:jc w:val="center"/>
              <w:rPr>
                <w:bCs/>
              </w:rPr>
            </w:pPr>
          </w:p>
        </w:tc>
        <w:tc>
          <w:tcPr>
            <w:tcW w:w="1881" w:type="dxa"/>
          </w:tcPr>
          <w:p>
            <w:pPr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7" w:type="dxa"/>
            <w:vAlign w:val="center"/>
          </w:tcPr>
          <w:p>
            <w:pPr>
              <w:jc w:val="center"/>
            </w:pPr>
            <w:r>
              <w:t>1.1.27.</w:t>
            </w:r>
          </w:p>
        </w:tc>
        <w:tc>
          <w:tcPr>
            <w:tcW w:w="2562" w:type="dxa"/>
            <w:vAlign w:val="center"/>
          </w:tcPr>
          <w:p>
            <w:pPr>
              <w:jc w:val="both"/>
              <w:rPr>
                <w:color w:val="000000"/>
                <w:szCs w:val="24"/>
                <w:shd w:val="clear" w:color="auto" w:fill="FFFFFF"/>
              </w:rPr>
            </w:pPr>
            <w:r>
              <w:rPr>
                <w:color w:val="000000"/>
                <w:szCs w:val="24"/>
                <w:shd w:val="clear" w:color="auto" w:fill="FFFFFF"/>
              </w:rPr>
              <w:t xml:space="preserve">Приобретение оттиска штампа (печатей) </w:t>
            </w:r>
          </w:p>
        </w:tc>
        <w:tc>
          <w:tcPr>
            <w:tcW w:w="789" w:type="dxa"/>
            <w:shd w:val="clear" w:color="auto" w:fill="auto"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776" w:type="dxa"/>
          </w:tcPr>
          <w:p>
            <w:pPr>
              <w:jc w:val="center"/>
              <w:rPr>
                <w:bCs/>
              </w:rPr>
            </w:pPr>
          </w:p>
        </w:tc>
        <w:tc>
          <w:tcPr>
            <w:tcW w:w="776" w:type="dxa"/>
          </w:tcPr>
          <w:p>
            <w:pPr>
              <w:jc w:val="center"/>
              <w:rPr>
                <w:bCs/>
              </w:rPr>
            </w:pPr>
          </w:p>
        </w:tc>
        <w:tc>
          <w:tcPr>
            <w:tcW w:w="1303" w:type="dxa"/>
          </w:tcPr>
          <w:p>
            <w:pPr>
              <w:jc w:val="center"/>
              <w:rPr>
                <w:bCs/>
              </w:rPr>
            </w:pPr>
          </w:p>
        </w:tc>
        <w:tc>
          <w:tcPr>
            <w:tcW w:w="1582" w:type="dxa"/>
          </w:tcPr>
          <w:p>
            <w:pPr>
              <w:jc w:val="center"/>
              <w:rPr>
                <w:bCs/>
              </w:rPr>
            </w:pPr>
          </w:p>
        </w:tc>
        <w:tc>
          <w:tcPr>
            <w:tcW w:w="1881" w:type="dxa"/>
          </w:tcPr>
          <w:p>
            <w:pPr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7" w:type="dxa"/>
            <w:vAlign w:val="center"/>
          </w:tcPr>
          <w:p>
            <w:pPr>
              <w:jc w:val="center"/>
            </w:pPr>
            <w:r>
              <w:t>1.1.28</w:t>
            </w:r>
          </w:p>
        </w:tc>
        <w:tc>
          <w:tcPr>
            <w:tcW w:w="2562" w:type="dxa"/>
            <w:vAlign w:val="center"/>
          </w:tcPr>
          <w:p>
            <w:pPr>
              <w:jc w:val="both"/>
              <w:rPr>
                <w:color w:val="000000"/>
                <w:szCs w:val="24"/>
                <w:shd w:val="clear" w:color="auto" w:fill="FFFFFF"/>
              </w:rPr>
            </w:pPr>
            <w:r>
              <w:rPr>
                <w:color w:val="000000"/>
                <w:szCs w:val="24"/>
                <w:shd w:val="clear" w:color="auto" w:fill="FFFFFF"/>
              </w:rPr>
              <w:t>Приобретение комплекса для заправки и восстановления картриджей</w:t>
            </w:r>
          </w:p>
        </w:tc>
        <w:tc>
          <w:tcPr>
            <w:tcW w:w="789" w:type="dxa"/>
            <w:shd w:val="clear" w:color="auto" w:fill="auto"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776" w:type="dxa"/>
          </w:tcPr>
          <w:p>
            <w:pPr>
              <w:jc w:val="center"/>
              <w:rPr>
                <w:bCs/>
              </w:rPr>
            </w:pPr>
          </w:p>
        </w:tc>
        <w:tc>
          <w:tcPr>
            <w:tcW w:w="776" w:type="dxa"/>
          </w:tcPr>
          <w:p>
            <w:pPr>
              <w:jc w:val="center"/>
              <w:rPr>
                <w:bCs/>
              </w:rPr>
            </w:pPr>
          </w:p>
        </w:tc>
        <w:tc>
          <w:tcPr>
            <w:tcW w:w="1303" w:type="dxa"/>
          </w:tcPr>
          <w:p>
            <w:pPr>
              <w:jc w:val="center"/>
              <w:rPr>
                <w:bCs/>
              </w:rPr>
            </w:pPr>
          </w:p>
        </w:tc>
        <w:tc>
          <w:tcPr>
            <w:tcW w:w="1582" w:type="dxa"/>
          </w:tcPr>
          <w:p>
            <w:pPr>
              <w:jc w:val="center"/>
              <w:rPr>
                <w:bCs/>
              </w:rPr>
            </w:pPr>
          </w:p>
        </w:tc>
        <w:tc>
          <w:tcPr>
            <w:tcW w:w="1881" w:type="dxa"/>
          </w:tcPr>
          <w:p>
            <w:pPr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7" w:type="dxa"/>
            <w:vAlign w:val="center"/>
          </w:tcPr>
          <w:p>
            <w:pPr>
              <w:jc w:val="center"/>
            </w:pPr>
            <w:r>
              <w:t>1.1.29</w:t>
            </w:r>
          </w:p>
        </w:tc>
        <w:tc>
          <w:tcPr>
            <w:tcW w:w="2562" w:type="dxa"/>
            <w:vAlign w:val="center"/>
          </w:tcPr>
          <w:p>
            <w:pPr>
              <w:jc w:val="both"/>
              <w:rPr>
                <w:color w:val="000000"/>
                <w:szCs w:val="24"/>
                <w:shd w:val="clear" w:color="auto" w:fill="FFFFFF"/>
              </w:rPr>
            </w:pPr>
            <w:r>
              <w:rPr>
                <w:color w:val="000000"/>
                <w:szCs w:val="24"/>
                <w:shd w:val="clear" w:color="auto" w:fill="FFFFFF"/>
              </w:rPr>
              <w:t>Ремонт помещений нежилого трехэтажного здания администрации, находящегося по адресу Самарская область, г. Кинель, ул. Ленина, д.36, под размещение многофункционального центра предоставления государственных и муниципальных услуг</w:t>
            </w:r>
          </w:p>
        </w:tc>
        <w:tc>
          <w:tcPr>
            <w:tcW w:w="789" w:type="dxa"/>
            <w:shd w:val="clear" w:color="auto" w:fill="auto"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3000</w:t>
            </w:r>
          </w:p>
        </w:tc>
        <w:tc>
          <w:tcPr>
            <w:tcW w:w="821" w:type="dxa"/>
            <w:shd w:val="clear" w:color="auto" w:fill="auto"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776" w:type="dxa"/>
          </w:tcPr>
          <w:p>
            <w:pPr>
              <w:jc w:val="center"/>
              <w:rPr>
                <w:bCs/>
              </w:rPr>
            </w:pPr>
          </w:p>
        </w:tc>
        <w:tc>
          <w:tcPr>
            <w:tcW w:w="776" w:type="dxa"/>
          </w:tcPr>
          <w:p>
            <w:pPr>
              <w:jc w:val="center"/>
              <w:rPr>
                <w:bCs/>
              </w:rPr>
            </w:pPr>
          </w:p>
        </w:tc>
        <w:tc>
          <w:tcPr>
            <w:tcW w:w="1303" w:type="dxa"/>
          </w:tcPr>
          <w:p>
            <w:pPr>
              <w:jc w:val="center"/>
              <w:rPr>
                <w:bCs/>
              </w:rPr>
            </w:pPr>
          </w:p>
        </w:tc>
        <w:tc>
          <w:tcPr>
            <w:tcW w:w="1582" w:type="dxa"/>
          </w:tcPr>
          <w:p>
            <w:pPr>
              <w:jc w:val="center"/>
              <w:rPr>
                <w:bCs/>
              </w:rPr>
            </w:pPr>
          </w:p>
        </w:tc>
        <w:tc>
          <w:tcPr>
            <w:tcW w:w="1881" w:type="dxa"/>
          </w:tcPr>
          <w:p>
            <w:pPr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7" w:type="dxa"/>
            <w:vAlign w:val="center"/>
          </w:tcPr>
          <w:p>
            <w:pPr>
              <w:jc w:val="center"/>
            </w:pPr>
            <w:r>
              <w:t>1.1.30</w:t>
            </w:r>
          </w:p>
        </w:tc>
        <w:tc>
          <w:tcPr>
            <w:tcW w:w="2562" w:type="dxa"/>
            <w:vAlign w:val="center"/>
          </w:tcPr>
          <w:p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Приобретение планшета</w:t>
            </w:r>
          </w:p>
        </w:tc>
        <w:tc>
          <w:tcPr>
            <w:tcW w:w="789" w:type="dxa"/>
            <w:shd w:val="clear" w:color="auto" w:fill="auto"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776" w:type="dxa"/>
          </w:tcPr>
          <w:p>
            <w:pPr>
              <w:jc w:val="center"/>
              <w:rPr>
                <w:bCs/>
              </w:rPr>
            </w:pPr>
          </w:p>
        </w:tc>
        <w:tc>
          <w:tcPr>
            <w:tcW w:w="776" w:type="dxa"/>
          </w:tcPr>
          <w:p>
            <w:pPr>
              <w:jc w:val="center"/>
              <w:rPr>
                <w:bCs/>
              </w:rPr>
            </w:pPr>
          </w:p>
        </w:tc>
        <w:tc>
          <w:tcPr>
            <w:tcW w:w="1303" w:type="dxa"/>
          </w:tcPr>
          <w:p>
            <w:pPr>
              <w:jc w:val="center"/>
              <w:rPr>
                <w:bCs/>
              </w:rPr>
            </w:pPr>
          </w:p>
        </w:tc>
        <w:tc>
          <w:tcPr>
            <w:tcW w:w="1582" w:type="dxa"/>
          </w:tcPr>
          <w:p>
            <w:pPr>
              <w:jc w:val="center"/>
              <w:rPr>
                <w:bCs/>
              </w:rPr>
            </w:pPr>
          </w:p>
        </w:tc>
        <w:tc>
          <w:tcPr>
            <w:tcW w:w="1881" w:type="dxa"/>
          </w:tcPr>
          <w:p>
            <w:pPr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7" w:type="dxa"/>
            <w:vAlign w:val="center"/>
          </w:tcPr>
          <w:p>
            <w:pPr>
              <w:jc w:val="center"/>
            </w:pPr>
            <w:r>
              <w:t>1.1.31</w:t>
            </w:r>
          </w:p>
        </w:tc>
        <w:tc>
          <w:tcPr>
            <w:tcW w:w="2562" w:type="dxa"/>
            <w:vAlign w:val="center"/>
          </w:tcPr>
          <w:p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Ремонт ролставни</w:t>
            </w:r>
          </w:p>
        </w:tc>
        <w:tc>
          <w:tcPr>
            <w:tcW w:w="789" w:type="dxa"/>
            <w:shd w:val="clear" w:color="auto" w:fill="auto"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776" w:type="dxa"/>
          </w:tcPr>
          <w:p>
            <w:pPr>
              <w:jc w:val="center"/>
              <w:rPr>
                <w:bCs/>
              </w:rPr>
            </w:pPr>
          </w:p>
        </w:tc>
        <w:tc>
          <w:tcPr>
            <w:tcW w:w="776" w:type="dxa"/>
          </w:tcPr>
          <w:p>
            <w:pPr>
              <w:jc w:val="center"/>
              <w:rPr>
                <w:bCs/>
              </w:rPr>
            </w:pPr>
          </w:p>
        </w:tc>
        <w:tc>
          <w:tcPr>
            <w:tcW w:w="1303" w:type="dxa"/>
          </w:tcPr>
          <w:p>
            <w:pPr>
              <w:jc w:val="center"/>
              <w:rPr>
                <w:bCs/>
              </w:rPr>
            </w:pPr>
          </w:p>
        </w:tc>
        <w:tc>
          <w:tcPr>
            <w:tcW w:w="1582" w:type="dxa"/>
          </w:tcPr>
          <w:p>
            <w:pPr>
              <w:jc w:val="center"/>
              <w:rPr>
                <w:bCs/>
              </w:rPr>
            </w:pPr>
          </w:p>
        </w:tc>
        <w:tc>
          <w:tcPr>
            <w:tcW w:w="1881" w:type="dxa"/>
          </w:tcPr>
          <w:p>
            <w:pPr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7" w:type="dxa"/>
          </w:tcPr>
          <w:p>
            <w:r>
              <w:t>1.1.32</w:t>
            </w:r>
          </w:p>
        </w:tc>
        <w:tc>
          <w:tcPr>
            <w:tcW w:w="2562" w:type="dxa"/>
            <w:vAlign w:val="center"/>
          </w:tcPr>
          <w:p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Участие в семинаре</w:t>
            </w:r>
          </w:p>
        </w:tc>
        <w:tc>
          <w:tcPr>
            <w:tcW w:w="789" w:type="dxa"/>
            <w:shd w:val="clear" w:color="auto" w:fill="auto"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776" w:type="dxa"/>
          </w:tcPr>
          <w:p>
            <w:pPr>
              <w:jc w:val="center"/>
              <w:rPr>
                <w:bCs/>
              </w:rPr>
            </w:pPr>
          </w:p>
        </w:tc>
        <w:tc>
          <w:tcPr>
            <w:tcW w:w="776" w:type="dxa"/>
          </w:tcPr>
          <w:p>
            <w:pPr>
              <w:jc w:val="center"/>
              <w:rPr>
                <w:bCs/>
              </w:rPr>
            </w:pPr>
          </w:p>
        </w:tc>
        <w:tc>
          <w:tcPr>
            <w:tcW w:w="1303" w:type="dxa"/>
          </w:tcPr>
          <w:p>
            <w:pPr>
              <w:jc w:val="center"/>
              <w:rPr>
                <w:bCs/>
              </w:rPr>
            </w:pPr>
          </w:p>
        </w:tc>
        <w:tc>
          <w:tcPr>
            <w:tcW w:w="1582" w:type="dxa"/>
          </w:tcPr>
          <w:p>
            <w:pPr>
              <w:jc w:val="center"/>
              <w:rPr>
                <w:bCs/>
              </w:rPr>
            </w:pPr>
          </w:p>
        </w:tc>
        <w:tc>
          <w:tcPr>
            <w:tcW w:w="1881" w:type="dxa"/>
          </w:tcPr>
          <w:p>
            <w:pPr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7" w:type="dxa"/>
          </w:tcPr>
          <w:p>
            <w:r>
              <w:t>1.1.33</w:t>
            </w:r>
          </w:p>
        </w:tc>
        <w:tc>
          <w:tcPr>
            <w:tcW w:w="2562" w:type="dxa"/>
            <w:vAlign w:val="center"/>
          </w:tcPr>
          <w:p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Регулировка ПВХ</w:t>
            </w:r>
          </w:p>
        </w:tc>
        <w:tc>
          <w:tcPr>
            <w:tcW w:w="789" w:type="dxa"/>
            <w:shd w:val="clear" w:color="auto" w:fill="auto"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776" w:type="dxa"/>
          </w:tcPr>
          <w:p>
            <w:pPr>
              <w:jc w:val="center"/>
              <w:rPr>
                <w:bCs/>
              </w:rPr>
            </w:pPr>
          </w:p>
        </w:tc>
        <w:tc>
          <w:tcPr>
            <w:tcW w:w="776" w:type="dxa"/>
          </w:tcPr>
          <w:p>
            <w:pPr>
              <w:jc w:val="center"/>
              <w:rPr>
                <w:bCs/>
              </w:rPr>
            </w:pPr>
          </w:p>
        </w:tc>
        <w:tc>
          <w:tcPr>
            <w:tcW w:w="1303" w:type="dxa"/>
          </w:tcPr>
          <w:p>
            <w:pPr>
              <w:jc w:val="center"/>
              <w:rPr>
                <w:bCs/>
              </w:rPr>
            </w:pPr>
          </w:p>
        </w:tc>
        <w:tc>
          <w:tcPr>
            <w:tcW w:w="1582" w:type="dxa"/>
          </w:tcPr>
          <w:p>
            <w:pPr>
              <w:jc w:val="center"/>
              <w:rPr>
                <w:bCs/>
              </w:rPr>
            </w:pPr>
          </w:p>
        </w:tc>
        <w:tc>
          <w:tcPr>
            <w:tcW w:w="1881" w:type="dxa"/>
          </w:tcPr>
          <w:p>
            <w:pPr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7" w:type="dxa"/>
          </w:tcPr>
          <w:p>
            <w:r>
              <w:t>1.1.34</w:t>
            </w:r>
          </w:p>
        </w:tc>
        <w:tc>
          <w:tcPr>
            <w:tcW w:w="2562" w:type="dxa"/>
            <w:vAlign w:val="center"/>
          </w:tcPr>
          <w:p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Приобретение онлайн кассы</w:t>
            </w:r>
          </w:p>
        </w:tc>
        <w:tc>
          <w:tcPr>
            <w:tcW w:w="789" w:type="dxa"/>
            <w:shd w:val="clear" w:color="auto" w:fill="auto"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776" w:type="dxa"/>
          </w:tcPr>
          <w:p>
            <w:pPr>
              <w:jc w:val="center"/>
              <w:rPr>
                <w:bCs/>
              </w:rPr>
            </w:pPr>
          </w:p>
        </w:tc>
        <w:tc>
          <w:tcPr>
            <w:tcW w:w="776" w:type="dxa"/>
          </w:tcPr>
          <w:p>
            <w:pPr>
              <w:jc w:val="center"/>
              <w:rPr>
                <w:bCs/>
              </w:rPr>
            </w:pPr>
          </w:p>
        </w:tc>
        <w:tc>
          <w:tcPr>
            <w:tcW w:w="1303" w:type="dxa"/>
          </w:tcPr>
          <w:p>
            <w:pPr>
              <w:jc w:val="center"/>
              <w:rPr>
                <w:bCs/>
              </w:rPr>
            </w:pPr>
          </w:p>
        </w:tc>
        <w:tc>
          <w:tcPr>
            <w:tcW w:w="1582" w:type="dxa"/>
          </w:tcPr>
          <w:p>
            <w:pPr>
              <w:jc w:val="center"/>
              <w:rPr>
                <w:bCs/>
              </w:rPr>
            </w:pPr>
          </w:p>
        </w:tc>
        <w:tc>
          <w:tcPr>
            <w:tcW w:w="1881" w:type="dxa"/>
          </w:tcPr>
          <w:p>
            <w:pPr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7" w:type="dxa"/>
            <w:vAlign w:val="center"/>
          </w:tcPr>
          <w:p>
            <w:pPr>
              <w:jc w:val="center"/>
            </w:pPr>
            <w:r>
              <w:t>1.2</w:t>
            </w:r>
          </w:p>
        </w:tc>
        <w:tc>
          <w:tcPr>
            <w:tcW w:w="2562" w:type="dxa"/>
            <w:vAlign w:val="center"/>
          </w:tcPr>
          <w:p>
            <w:pPr>
              <w:pStyle w:val="15"/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Иные мероприятия</w:t>
            </w:r>
            <w:r>
              <w:rPr>
                <w:rFonts w:ascii="Times New Roman" w:hAnsi="Times New Roman" w:cs="Times New Roman"/>
                <w:b w:val="0"/>
                <w:sz w:val="20"/>
                <w:szCs w:val="24"/>
              </w:rPr>
              <w:t>, направленные на обеспечение п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4"/>
              </w:rPr>
              <w:t>редоставления</w:t>
            </w:r>
            <w:r>
              <w:rPr>
                <w:rFonts w:ascii="Times New Roman" w:hAnsi="Times New Roman" w:cs="Times New Roman"/>
                <w:b w:val="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4"/>
              </w:rPr>
              <w:t xml:space="preserve">государственных и муниципальных услуг </w:t>
            </w:r>
            <w:r>
              <w:rPr>
                <w:rFonts w:ascii="Times New Roman" w:hAnsi="Times New Roman" w:cs="Times New Roman"/>
                <w:b w:val="0"/>
                <w:sz w:val="20"/>
                <w:szCs w:val="24"/>
              </w:rPr>
              <w:t>в режиме «одного окна» на территории муниципального района Кинельский</w:t>
            </w:r>
          </w:p>
        </w:tc>
        <w:tc>
          <w:tcPr>
            <w:tcW w:w="789" w:type="dxa"/>
            <w:shd w:val="clear" w:color="auto" w:fill="auto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450</w:t>
            </w:r>
          </w:p>
        </w:tc>
        <w:tc>
          <w:tcPr>
            <w:tcW w:w="866" w:type="dxa"/>
            <w:shd w:val="clear" w:color="auto" w:fill="auto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450</w:t>
            </w:r>
          </w:p>
        </w:tc>
        <w:tc>
          <w:tcPr>
            <w:tcW w:w="821" w:type="dxa"/>
            <w:shd w:val="clear" w:color="auto" w:fill="auto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450</w:t>
            </w:r>
          </w:p>
        </w:tc>
        <w:tc>
          <w:tcPr>
            <w:tcW w:w="776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bCs/>
              </w:rPr>
            </w:pPr>
          </w:p>
          <w:p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</w:rPr>
              <w:t>450</w:t>
            </w:r>
          </w:p>
        </w:tc>
        <w:tc>
          <w:tcPr>
            <w:tcW w:w="776" w:type="dxa"/>
          </w:tcPr>
          <w:p>
            <w:pPr>
              <w:spacing w:after="200" w:line="276" w:lineRule="auto"/>
              <w:jc w:val="center"/>
              <w:rPr>
                <w:bCs/>
              </w:rPr>
            </w:pPr>
          </w:p>
        </w:tc>
        <w:tc>
          <w:tcPr>
            <w:tcW w:w="776" w:type="dxa"/>
          </w:tcPr>
          <w:p>
            <w:pPr>
              <w:spacing w:after="200" w:line="276" w:lineRule="auto"/>
              <w:jc w:val="center"/>
              <w:rPr>
                <w:bCs/>
              </w:rPr>
            </w:pPr>
          </w:p>
          <w:p>
            <w:pPr>
              <w:spacing w:after="200" w:line="276" w:lineRule="auto"/>
              <w:jc w:val="center"/>
              <w:rPr>
                <w:bCs/>
              </w:rPr>
            </w:pPr>
          </w:p>
          <w:p>
            <w:pPr>
              <w:spacing w:after="200" w:line="276" w:lineRule="auto"/>
              <w:jc w:val="center"/>
              <w:rPr>
                <w:bCs/>
              </w:rPr>
            </w:pPr>
          </w:p>
          <w:p>
            <w:pPr>
              <w:spacing w:after="200" w:line="276" w:lineRule="auto"/>
              <w:jc w:val="center"/>
              <w:rPr>
                <w:rFonts w:hint="default"/>
                <w:bCs/>
                <w:lang w:val="ru-RU"/>
              </w:rPr>
            </w:pPr>
            <w:r>
              <w:rPr>
                <w:rFonts w:hint="default"/>
                <w:bCs/>
                <w:lang w:val="ru-RU"/>
              </w:rPr>
              <w:t>50,0</w:t>
            </w:r>
          </w:p>
        </w:tc>
        <w:tc>
          <w:tcPr>
            <w:tcW w:w="1303" w:type="dxa"/>
          </w:tcPr>
          <w:p>
            <w:pPr>
              <w:spacing w:after="200" w:line="276" w:lineRule="auto"/>
              <w:jc w:val="center"/>
              <w:rPr>
                <w:bCs/>
              </w:rPr>
            </w:pPr>
          </w:p>
        </w:tc>
        <w:tc>
          <w:tcPr>
            <w:tcW w:w="1582" w:type="dxa"/>
          </w:tcPr>
          <w:p>
            <w:pPr>
              <w:spacing w:after="200" w:line="276" w:lineRule="auto"/>
              <w:jc w:val="center"/>
              <w:rPr>
                <w:bCs/>
              </w:rPr>
            </w:pPr>
          </w:p>
        </w:tc>
        <w:tc>
          <w:tcPr>
            <w:tcW w:w="1881" w:type="dxa"/>
          </w:tcPr>
          <w:p>
            <w:pPr>
              <w:spacing w:after="200" w:line="276" w:lineRule="auto"/>
              <w:jc w:val="center"/>
              <w:rPr>
                <w:bCs/>
              </w:rPr>
            </w:pPr>
          </w:p>
        </w:tc>
      </w:tr>
    </w:tbl>
    <w:p>
      <w:pPr>
        <w:shd w:val="clear" w:color="auto" w:fill="FFFFFF"/>
        <w:jc w:val="both"/>
        <w:rPr>
          <w:color w:val="000000"/>
        </w:rPr>
      </w:pPr>
    </w:p>
    <w:sectPr>
      <w:pgSz w:w="16838" w:h="11906" w:orient="landscape"/>
      <w:pgMar w:top="426" w:right="1134" w:bottom="426" w:left="1134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cademy">
    <w:altName w:val="Times New Roman"/>
    <w:panose1 w:val="00000000000000000000"/>
    <w:charset w:val="00"/>
    <w:family w:val="auto"/>
    <w:pitch w:val="default"/>
    <w:sig w:usb0="00000000" w:usb1="00000000" w:usb2="00000000" w:usb3="00000000" w:csb0="0000001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9080D73"/>
    <w:multiLevelType w:val="multilevel"/>
    <w:tmpl w:val="49080D73"/>
    <w:lvl w:ilvl="0" w:tentative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DE644F"/>
    <w:multiLevelType w:val="multilevel"/>
    <w:tmpl w:val="59DE644F"/>
    <w:lvl w:ilvl="0" w:tentative="0">
      <w:start w:val="1"/>
      <w:numFmt w:val="decimal"/>
      <w:lvlText w:val="%1."/>
      <w:lvlJc w:val="left"/>
      <w:pPr>
        <w:ind w:left="945" w:hanging="510"/>
      </w:pPr>
      <w:rPr>
        <w:rFonts w:ascii="Times New Roman" w:hAnsi="Times New Roman" w:eastAsia="Times New Roman" w:cs="Times New Roman"/>
        <w:b w:val="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autoHyphenation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DE2"/>
    <w:rsid w:val="00002E71"/>
    <w:rsid w:val="00004512"/>
    <w:rsid w:val="000115A1"/>
    <w:rsid w:val="00012B75"/>
    <w:rsid w:val="00014E97"/>
    <w:rsid w:val="000311A7"/>
    <w:rsid w:val="00034277"/>
    <w:rsid w:val="00042E04"/>
    <w:rsid w:val="0005788C"/>
    <w:rsid w:val="00065DEB"/>
    <w:rsid w:val="00072AD7"/>
    <w:rsid w:val="000A3A5F"/>
    <w:rsid w:val="000A4894"/>
    <w:rsid w:val="000A6CB6"/>
    <w:rsid w:val="000B601C"/>
    <w:rsid w:val="000C614C"/>
    <w:rsid w:val="000D318F"/>
    <w:rsid w:val="000D5709"/>
    <w:rsid w:val="000E7F8B"/>
    <w:rsid w:val="000F3DC6"/>
    <w:rsid w:val="00100BBC"/>
    <w:rsid w:val="0011185F"/>
    <w:rsid w:val="00123A11"/>
    <w:rsid w:val="0012480B"/>
    <w:rsid w:val="00176265"/>
    <w:rsid w:val="00176929"/>
    <w:rsid w:val="00186A43"/>
    <w:rsid w:val="00187971"/>
    <w:rsid w:val="001902EB"/>
    <w:rsid w:val="0019103A"/>
    <w:rsid w:val="001A1022"/>
    <w:rsid w:val="001A1FBC"/>
    <w:rsid w:val="001A31B7"/>
    <w:rsid w:val="001A5B95"/>
    <w:rsid w:val="001E2E56"/>
    <w:rsid w:val="00203EA0"/>
    <w:rsid w:val="00206EB5"/>
    <w:rsid w:val="00215F90"/>
    <w:rsid w:val="00217E7B"/>
    <w:rsid w:val="00225641"/>
    <w:rsid w:val="002447FF"/>
    <w:rsid w:val="002514DA"/>
    <w:rsid w:val="00264510"/>
    <w:rsid w:val="002A7A09"/>
    <w:rsid w:val="002B3F6D"/>
    <w:rsid w:val="002C7F41"/>
    <w:rsid w:val="002E2A78"/>
    <w:rsid w:val="002E597E"/>
    <w:rsid w:val="002E6D37"/>
    <w:rsid w:val="002F4E41"/>
    <w:rsid w:val="00301765"/>
    <w:rsid w:val="00303ACA"/>
    <w:rsid w:val="00305FE0"/>
    <w:rsid w:val="00326F82"/>
    <w:rsid w:val="003415DE"/>
    <w:rsid w:val="0036036A"/>
    <w:rsid w:val="00364DE2"/>
    <w:rsid w:val="00372B2E"/>
    <w:rsid w:val="00376E46"/>
    <w:rsid w:val="003A7FDE"/>
    <w:rsid w:val="003B0F14"/>
    <w:rsid w:val="003B1117"/>
    <w:rsid w:val="003B12B7"/>
    <w:rsid w:val="003D6B10"/>
    <w:rsid w:val="003D764B"/>
    <w:rsid w:val="003E2750"/>
    <w:rsid w:val="003E344F"/>
    <w:rsid w:val="003E5231"/>
    <w:rsid w:val="003E579F"/>
    <w:rsid w:val="0040258E"/>
    <w:rsid w:val="00403F56"/>
    <w:rsid w:val="00414D11"/>
    <w:rsid w:val="00420490"/>
    <w:rsid w:val="004276B4"/>
    <w:rsid w:val="00437AA1"/>
    <w:rsid w:val="004550C3"/>
    <w:rsid w:val="0046787C"/>
    <w:rsid w:val="004718DB"/>
    <w:rsid w:val="00482725"/>
    <w:rsid w:val="00485708"/>
    <w:rsid w:val="00487079"/>
    <w:rsid w:val="00494DF0"/>
    <w:rsid w:val="00496EE6"/>
    <w:rsid w:val="004C290A"/>
    <w:rsid w:val="004D41DC"/>
    <w:rsid w:val="004D5173"/>
    <w:rsid w:val="004D5F84"/>
    <w:rsid w:val="004D6B11"/>
    <w:rsid w:val="004E2E6E"/>
    <w:rsid w:val="004E4590"/>
    <w:rsid w:val="004F1D21"/>
    <w:rsid w:val="004F3F5E"/>
    <w:rsid w:val="004F53F8"/>
    <w:rsid w:val="00504B0E"/>
    <w:rsid w:val="00507E83"/>
    <w:rsid w:val="00511571"/>
    <w:rsid w:val="00537F97"/>
    <w:rsid w:val="00551467"/>
    <w:rsid w:val="005676ED"/>
    <w:rsid w:val="00577189"/>
    <w:rsid w:val="00593C06"/>
    <w:rsid w:val="005A1A03"/>
    <w:rsid w:val="005A3542"/>
    <w:rsid w:val="005B5EFB"/>
    <w:rsid w:val="005B64FF"/>
    <w:rsid w:val="005C2A71"/>
    <w:rsid w:val="005C3C04"/>
    <w:rsid w:val="00604D09"/>
    <w:rsid w:val="006433BD"/>
    <w:rsid w:val="006510FF"/>
    <w:rsid w:val="006A5644"/>
    <w:rsid w:val="006D3E9F"/>
    <w:rsid w:val="006D6671"/>
    <w:rsid w:val="006E6BBD"/>
    <w:rsid w:val="006F494E"/>
    <w:rsid w:val="00706779"/>
    <w:rsid w:val="00737DD7"/>
    <w:rsid w:val="00741FC2"/>
    <w:rsid w:val="00762707"/>
    <w:rsid w:val="00762E5B"/>
    <w:rsid w:val="00764456"/>
    <w:rsid w:val="00790BD5"/>
    <w:rsid w:val="00797766"/>
    <w:rsid w:val="007B3812"/>
    <w:rsid w:val="007D2C87"/>
    <w:rsid w:val="007E652D"/>
    <w:rsid w:val="00806464"/>
    <w:rsid w:val="00810EAB"/>
    <w:rsid w:val="00815B1C"/>
    <w:rsid w:val="00844CE4"/>
    <w:rsid w:val="0085424F"/>
    <w:rsid w:val="008567F2"/>
    <w:rsid w:val="00864EDF"/>
    <w:rsid w:val="00883A63"/>
    <w:rsid w:val="00884976"/>
    <w:rsid w:val="00892CE4"/>
    <w:rsid w:val="008C323F"/>
    <w:rsid w:val="008D35F3"/>
    <w:rsid w:val="008D7E4A"/>
    <w:rsid w:val="008F56AD"/>
    <w:rsid w:val="008F6F1E"/>
    <w:rsid w:val="0090453B"/>
    <w:rsid w:val="00912088"/>
    <w:rsid w:val="00922BCC"/>
    <w:rsid w:val="00930269"/>
    <w:rsid w:val="00942106"/>
    <w:rsid w:val="0096443E"/>
    <w:rsid w:val="00970C62"/>
    <w:rsid w:val="00984251"/>
    <w:rsid w:val="00985985"/>
    <w:rsid w:val="00992AE3"/>
    <w:rsid w:val="00995533"/>
    <w:rsid w:val="009C4E01"/>
    <w:rsid w:val="009D5CE4"/>
    <w:rsid w:val="009E0BAB"/>
    <w:rsid w:val="009E12A5"/>
    <w:rsid w:val="00A14913"/>
    <w:rsid w:val="00A21B85"/>
    <w:rsid w:val="00A25D29"/>
    <w:rsid w:val="00A34006"/>
    <w:rsid w:val="00A371DD"/>
    <w:rsid w:val="00A50020"/>
    <w:rsid w:val="00A9486C"/>
    <w:rsid w:val="00AB75C4"/>
    <w:rsid w:val="00AC3731"/>
    <w:rsid w:val="00AD291B"/>
    <w:rsid w:val="00AD4EF7"/>
    <w:rsid w:val="00AD5464"/>
    <w:rsid w:val="00AE32D9"/>
    <w:rsid w:val="00AF2F32"/>
    <w:rsid w:val="00AF3236"/>
    <w:rsid w:val="00B10930"/>
    <w:rsid w:val="00B12979"/>
    <w:rsid w:val="00B23008"/>
    <w:rsid w:val="00B32B81"/>
    <w:rsid w:val="00B33095"/>
    <w:rsid w:val="00B45983"/>
    <w:rsid w:val="00B6447A"/>
    <w:rsid w:val="00B65057"/>
    <w:rsid w:val="00B76E9C"/>
    <w:rsid w:val="00BA2858"/>
    <w:rsid w:val="00BA3586"/>
    <w:rsid w:val="00BB5399"/>
    <w:rsid w:val="00BE4E32"/>
    <w:rsid w:val="00BE638F"/>
    <w:rsid w:val="00BF3CC3"/>
    <w:rsid w:val="00BF4172"/>
    <w:rsid w:val="00C071A0"/>
    <w:rsid w:val="00C250EA"/>
    <w:rsid w:val="00C336EC"/>
    <w:rsid w:val="00C61E48"/>
    <w:rsid w:val="00C62257"/>
    <w:rsid w:val="00C63064"/>
    <w:rsid w:val="00C71582"/>
    <w:rsid w:val="00C73778"/>
    <w:rsid w:val="00C95E75"/>
    <w:rsid w:val="00CE18BF"/>
    <w:rsid w:val="00CF0C4B"/>
    <w:rsid w:val="00CF5846"/>
    <w:rsid w:val="00CF60D0"/>
    <w:rsid w:val="00CF6869"/>
    <w:rsid w:val="00CF75FB"/>
    <w:rsid w:val="00D24A36"/>
    <w:rsid w:val="00D40A0A"/>
    <w:rsid w:val="00D451FF"/>
    <w:rsid w:val="00D60018"/>
    <w:rsid w:val="00D62293"/>
    <w:rsid w:val="00D6795B"/>
    <w:rsid w:val="00D8085A"/>
    <w:rsid w:val="00D971DC"/>
    <w:rsid w:val="00DA2AE5"/>
    <w:rsid w:val="00DA70D8"/>
    <w:rsid w:val="00DD4229"/>
    <w:rsid w:val="00DD6770"/>
    <w:rsid w:val="00E01B2A"/>
    <w:rsid w:val="00E07199"/>
    <w:rsid w:val="00E12D1E"/>
    <w:rsid w:val="00E14235"/>
    <w:rsid w:val="00E33FCD"/>
    <w:rsid w:val="00E370EC"/>
    <w:rsid w:val="00E408EB"/>
    <w:rsid w:val="00E46399"/>
    <w:rsid w:val="00E54055"/>
    <w:rsid w:val="00E56DBF"/>
    <w:rsid w:val="00E80598"/>
    <w:rsid w:val="00E917B8"/>
    <w:rsid w:val="00EA6402"/>
    <w:rsid w:val="00EC2BFC"/>
    <w:rsid w:val="00EC3C44"/>
    <w:rsid w:val="00ED0F05"/>
    <w:rsid w:val="00F057BB"/>
    <w:rsid w:val="00F0599F"/>
    <w:rsid w:val="00F06E55"/>
    <w:rsid w:val="00F11340"/>
    <w:rsid w:val="00F1253E"/>
    <w:rsid w:val="00F27D95"/>
    <w:rsid w:val="00F3290E"/>
    <w:rsid w:val="00F53C38"/>
    <w:rsid w:val="00F64007"/>
    <w:rsid w:val="00F71288"/>
    <w:rsid w:val="00F71500"/>
    <w:rsid w:val="00F7579A"/>
    <w:rsid w:val="00F82B8C"/>
    <w:rsid w:val="00FB2718"/>
    <w:rsid w:val="00FC21D8"/>
    <w:rsid w:val="00FD0BC3"/>
    <w:rsid w:val="00FD251C"/>
    <w:rsid w:val="00FE4225"/>
    <w:rsid w:val="00FE43F6"/>
    <w:rsid w:val="41097E08"/>
    <w:rsid w:val="7F4F2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lang w:val="ru-RU" w:eastAsia="ru-RU" w:bidi="ar-SA"/>
    </w:rPr>
  </w:style>
  <w:style w:type="paragraph" w:styleId="2">
    <w:name w:val="heading 1"/>
    <w:basedOn w:val="1"/>
    <w:next w:val="1"/>
    <w:qFormat/>
    <w:uiPriority w:val="0"/>
    <w:pPr>
      <w:keepNext/>
      <w:jc w:val="center"/>
      <w:outlineLvl w:val="0"/>
    </w:pPr>
    <w:rPr>
      <w:b/>
      <w:sz w:val="36"/>
    </w:rPr>
  </w:style>
  <w:style w:type="paragraph" w:styleId="3">
    <w:name w:val="heading 2"/>
    <w:basedOn w:val="1"/>
    <w:next w:val="1"/>
    <w:qFormat/>
    <w:uiPriority w:val="0"/>
    <w:pPr>
      <w:keepNext/>
      <w:jc w:val="center"/>
      <w:outlineLvl w:val="1"/>
    </w:pPr>
    <w:rPr>
      <w:b/>
      <w:sz w:val="40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alloon Text"/>
    <w:basedOn w:val="1"/>
    <w:semiHidden/>
    <w:qFormat/>
    <w:uiPriority w:val="0"/>
    <w:rPr>
      <w:rFonts w:ascii="Tahoma" w:hAnsi="Tahoma" w:cs="Tahoma"/>
      <w:sz w:val="16"/>
      <w:szCs w:val="16"/>
    </w:rPr>
  </w:style>
  <w:style w:type="paragraph" w:styleId="7">
    <w:name w:val="header"/>
    <w:basedOn w:val="1"/>
    <w:link w:val="12"/>
    <w:uiPriority w:val="0"/>
    <w:pPr>
      <w:tabs>
        <w:tab w:val="center" w:pos="4677"/>
        <w:tab w:val="right" w:pos="9355"/>
      </w:tabs>
    </w:pPr>
  </w:style>
  <w:style w:type="paragraph" w:styleId="8">
    <w:name w:val="Title"/>
    <w:basedOn w:val="1"/>
    <w:link w:val="16"/>
    <w:qFormat/>
    <w:uiPriority w:val="0"/>
    <w:pPr>
      <w:jc w:val="center"/>
    </w:pPr>
    <w:rPr>
      <w:b/>
      <w:bCs/>
      <w:sz w:val="48"/>
      <w:szCs w:val="24"/>
      <w:lang w:val="zh-CN"/>
    </w:rPr>
  </w:style>
  <w:style w:type="paragraph" w:styleId="9">
    <w:name w:val="footer"/>
    <w:basedOn w:val="1"/>
    <w:link w:val="10"/>
    <w:uiPriority w:val="99"/>
    <w:pPr>
      <w:tabs>
        <w:tab w:val="center" w:pos="4153"/>
        <w:tab w:val="right" w:pos="8306"/>
      </w:tabs>
    </w:pPr>
  </w:style>
  <w:style w:type="character" w:customStyle="1" w:styleId="10">
    <w:name w:val="Нижний колонтитул Знак"/>
    <w:basedOn w:val="4"/>
    <w:link w:val="9"/>
    <w:qFormat/>
    <w:uiPriority w:val="99"/>
  </w:style>
  <w:style w:type="paragraph" w:customStyle="1" w:styleId="11">
    <w:name w:val="style8"/>
    <w:basedOn w:val="1"/>
    <w:qFormat/>
    <w:uiPriority w:val="0"/>
    <w:pPr>
      <w:spacing w:before="100" w:beforeAutospacing="1" w:after="100" w:afterAutospacing="1"/>
    </w:pPr>
    <w:rPr>
      <w:sz w:val="24"/>
      <w:szCs w:val="24"/>
    </w:rPr>
  </w:style>
  <w:style w:type="character" w:customStyle="1" w:styleId="12">
    <w:name w:val="Верхний колонтитул Знак"/>
    <w:basedOn w:val="4"/>
    <w:link w:val="7"/>
    <w:uiPriority w:val="0"/>
  </w:style>
  <w:style w:type="paragraph" w:styleId="13">
    <w:name w:val="List Paragraph"/>
    <w:basedOn w:val="1"/>
    <w:qFormat/>
    <w:uiPriority w:val="3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4">
    <w:name w:val="ConsNormal"/>
    <w:uiPriority w:val="0"/>
    <w:pPr>
      <w:autoSpaceDE w:val="0"/>
      <w:autoSpaceDN w:val="0"/>
      <w:adjustRightInd w:val="0"/>
      <w:ind w:firstLine="720"/>
    </w:pPr>
    <w:rPr>
      <w:rFonts w:ascii="Arial" w:hAnsi="Arial" w:eastAsia="Times New Roman" w:cs="Arial"/>
      <w:lang w:val="ru-RU" w:eastAsia="ru-RU" w:bidi="ar-SA"/>
    </w:rPr>
  </w:style>
  <w:style w:type="paragraph" w:customStyle="1" w:styleId="15">
    <w:name w:val="ConsTitle"/>
    <w:qFormat/>
    <w:uiPriority w:val="0"/>
    <w:pPr>
      <w:autoSpaceDE w:val="0"/>
      <w:autoSpaceDN w:val="0"/>
      <w:adjustRightInd w:val="0"/>
    </w:pPr>
    <w:rPr>
      <w:rFonts w:ascii="Arial" w:hAnsi="Arial" w:eastAsia="Times New Roman" w:cs="Arial"/>
      <w:b/>
      <w:bCs/>
      <w:sz w:val="16"/>
      <w:szCs w:val="16"/>
      <w:lang w:val="ru-RU" w:eastAsia="ru-RU" w:bidi="ar-SA"/>
    </w:rPr>
  </w:style>
  <w:style w:type="character" w:customStyle="1" w:styleId="16">
    <w:name w:val="Название Знак"/>
    <w:link w:val="8"/>
    <w:qFormat/>
    <w:uiPriority w:val="0"/>
    <w:rPr>
      <w:b/>
      <w:bCs/>
      <w:sz w:val="48"/>
      <w:szCs w:val="24"/>
      <w:lang w:val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F12BAED-9BB4-4A83-96F7-88EBB01861F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Администрация района Кинельский</Company>
  <Pages>6</Pages>
  <Words>639</Words>
  <Characters>5940</Characters>
  <Lines>49</Lines>
  <Paragraphs>13</Paragraphs>
  <TotalTime>40</TotalTime>
  <ScaleCrop>false</ScaleCrop>
  <LinksUpToDate>false</LinksUpToDate>
  <CharactersWithSpaces>6566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2023-12-04T10:03:00Z</dcterms:created>
  <dc:creator>Дума</dc:creator>
  <cp:lastModifiedBy>Admin</cp:lastModifiedBy>
  <cp:lastPrinted>2023-12-11T11:39:51Z</cp:lastPrinted>
  <dcterms:modified xsi:type="dcterms:W3CDTF">2023-12-11T11:47:02Z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1049-12.2.0.13359</vt:lpwstr>
  </property>
  <property fmtid="{D5CDD505-2E9C-101B-9397-08002B2CF9AE}" pid="3" name="ICV">
    <vt:lpwstr>28BD67181DEA4BEB84F7CB238E01C4A3_12</vt:lpwstr>
  </property>
</Properties>
</file>