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к докладу главы 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>муниципа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льного района Кинельский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70023" w:rsidRPr="00AF61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06AD" w:rsidRPr="00AF61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и их планируемых значениях </w:t>
      </w:r>
    </w:p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>на 3-летний период</w:t>
      </w:r>
    </w:p>
    <w:p w:rsidR="00B635FF" w:rsidRPr="00AF6131" w:rsidRDefault="00B635FF" w:rsidP="00AF6131">
      <w:pPr>
        <w:keepNext/>
        <w:keepLines/>
        <w:spacing w:after="0" w:line="288" w:lineRule="auto"/>
        <w:ind w:left="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635FF" w:rsidRPr="00AF6131" w:rsidRDefault="00B635FF" w:rsidP="00AF6131">
      <w:pPr>
        <w:spacing w:after="0" w:line="288" w:lineRule="auto"/>
        <w:ind w:firstLine="709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1.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Краткое описание итогов социально-экономического развития</w:t>
      </w:r>
    </w:p>
    <w:p w:rsidR="00B635FF" w:rsidRPr="00AF6131" w:rsidRDefault="00B635FF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муниципального района Кинельский по состоянию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на конец 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о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тчетного года</w:t>
      </w:r>
    </w:p>
    <w:p w:rsidR="00AF698A" w:rsidRPr="00AF6131" w:rsidRDefault="00AF698A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6608A6" w:rsidRPr="00AF6131" w:rsidRDefault="006608A6" w:rsidP="00AF6131">
      <w:pPr>
        <w:spacing w:after="0" w:line="288" w:lineRule="auto"/>
        <w:ind w:firstLine="851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20</w:t>
      </w:r>
      <w:r w:rsidR="0057002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3F06AD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 в перечень стратегических направлений деятельности администрации муниципального района Кинельский вошли:</w:t>
      </w:r>
    </w:p>
    <w:p w:rsidR="00740B30" w:rsidRPr="00AF6131" w:rsidRDefault="00725584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развитие агропромышленного комплекса и сельских территорий.</w:t>
      </w:r>
    </w:p>
    <w:p w:rsidR="00570023" w:rsidRPr="00AF6131" w:rsidRDefault="00570023" w:rsidP="00AF6131">
      <w:pPr>
        <w:tabs>
          <w:tab w:val="left" w:pos="0"/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>-</w:t>
      </w:r>
      <w:r w:rsidRPr="00AF6131">
        <w:rPr>
          <w:rFonts w:ascii="Times New Roman" w:hAnsi="Times New Roman" w:cs="Times New Roman"/>
          <w:b/>
          <w:sz w:val="26"/>
          <w:szCs w:val="26"/>
        </w:rPr>
        <w:tab/>
        <w:t>Осуществление контроля ситуации на рынке труда для предотвращения роста безработицы</w:t>
      </w:r>
      <w:r w:rsidRPr="00AF6131">
        <w:rPr>
          <w:rFonts w:ascii="Times New Roman" w:hAnsi="Times New Roman" w:cs="Times New Roman"/>
          <w:sz w:val="26"/>
          <w:szCs w:val="26"/>
        </w:rPr>
        <w:t>.</w:t>
      </w:r>
    </w:p>
    <w:p w:rsidR="00570023" w:rsidRPr="00AF6131" w:rsidRDefault="00570023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Привлечение инвестиций в экономику муниципального района Кинельский.</w:t>
      </w:r>
    </w:p>
    <w:p w:rsidR="00740B30" w:rsidRPr="00AF6131" w:rsidRDefault="00725584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740B30" w:rsidRPr="00AF6131" w:rsidRDefault="00725584" w:rsidP="00AF6131">
      <w:pPr>
        <w:shd w:val="clear" w:color="auto" w:fill="FFFFFF" w:themeFill="background1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Увеличение объемов и темпов жилищного строительства. </w:t>
      </w:r>
    </w:p>
    <w:p w:rsidR="00CC6282" w:rsidRPr="00AF6131" w:rsidRDefault="00CC6282" w:rsidP="00AF6131">
      <w:pPr>
        <w:shd w:val="clear" w:color="auto" w:fill="FFFFFF" w:themeFill="background1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B6A23" w:rsidRPr="00AF6131" w:rsidRDefault="001B6A23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570023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06AD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продолжил</w:t>
      </w:r>
      <w:r w:rsidR="003D2E0F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</w:t>
      </w:r>
      <w:r w:rsidR="003D2E0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развити</w:t>
      </w:r>
      <w:r w:rsidR="003D2E0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агропромышленного комплекса и сельских территорий.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Приоритетным направлением в АПК района является совершенствование материально-технической базы.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Так, </w:t>
      </w:r>
      <w:r w:rsidR="00651907" w:rsidRPr="00AF6131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AF6131">
        <w:rPr>
          <w:rFonts w:ascii="Times New Roman" w:hAnsi="Times New Roman" w:cs="Times New Roman"/>
          <w:sz w:val="26"/>
          <w:szCs w:val="26"/>
        </w:rPr>
        <w:t>силами ООО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Парфеновское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построен зерносклад для хранения 12 тысяч тонн зерна, в стадии строительства находятся ещё два зерносклада. Установлена зерносушилка ASM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производительностью 34 тонны в час, проведен капитальный ремонт и реконструкция животноводческого помещения.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СПК (колхозе) имени Куйбышева завершилось строительство водопровода на животноводческую ферму и системы очистки воды, ведется строительство склада комбикормов.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Строятся новые животноводческие помещения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М.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Бакоян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ИП КФХ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Богдановское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подворье». 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 появлением новых требований по забою скота введены в действие убойные пункты в ООО "КСК",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Малбасарова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А.К., ООО „Агрокомплекс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им. Калягина“. Ведется строительство новых пунктов по забою скота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Бакоян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Галиев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Т. Н.</w:t>
      </w:r>
    </w:p>
    <w:p w:rsidR="00687CA3" w:rsidRPr="00AF6131" w:rsidRDefault="0065190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режиме постоянного обновления находится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автотракторный парк сельхозпроизводителей. За отчетный год п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риобретено </w:t>
      </w:r>
      <w:r w:rsidR="00687CA3" w:rsidRPr="00AF6131">
        <w:rPr>
          <w:rFonts w:ascii="Times New Roman" w:hAnsi="Times New Roman" w:cs="Times New Roman"/>
          <w:sz w:val="26"/>
          <w:szCs w:val="26"/>
        </w:rPr>
        <w:t>2</w:t>
      </w:r>
      <w:r w:rsidR="004948EE" w:rsidRPr="00AF6131">
        <w:rPr>
          <w:rFonts w:ascii="Times New Roman" w:hAnsi="Times New Roman" w:cs="Times New Roman"/>
          <w:sz w:val="26"/>
          <w:szCs w:val="26"/>
        </w:rPr>
        <w:t>8 единиц самоходной техники (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20 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единиц тракторов, </w:t>
      </w:r>
      <w:r w:rsidR="00687CA3" w:rsidRPr="00AF6131">
        <w:rPr>
          <w:rFonts w:ascii="Times New Roman" w:hAnsi="Times New Roman" w:cs="Times New Roman"/>
          <w:sz w:val="26"/>
          <w:szCs w:val="26"/>
        </w:rPr>
        <w:t>8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– зерноуборочных комбайнов</w:t>
      </w:r>
      <w:r w:rsidR="00687CA3" w:rsidRPr="00AF6131">
        <w:rPr>
          <w:rFonts w:ascii="Times New Roman" w:hAnsi="Times New Roman" w:cs="Times New Roman"/>
          <w:sz w:val="26"/>
          <w:szCs w:val="26"/>
        </w:rPr>
        <w:t>)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и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 91 ед. прицепной и навесной техники на общую сумму 518,4 млн.руб. </w:t>
      </w:r>
    </w:p>
    <w:p w:rsidR="004948EE" w:rsidRPr="00AF6131" w:rsidRDefault="0001593B" w:rsidP="00AF6131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Всего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за последние </w:t>
      </w:r>
      <w:r w:rsidR="00687CA3" w:rsidRPr="00AF6131">
        <w:rPr>
          <w:rFonts w:ascii="Times New Roman" w:hAnsi="Times New Roman" w:cs="Times New Roman"/>
          <w:sz w:val="26"/>
          <w:szCs w:val="26"/>
        </w:rPr>
        <w:t>пять лет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на эти цели </w:t>
      </w:r>
      <w:r w:rsidRPr="00AF6131">
        <w:rPr>
          <w:rFonts w:ascii="Times New Roman" w:hAnsi="Times New Roman" w:cs="Times New Roman"/>
          <w:sz w:val="26"/>
          <w:szCs w:val="26"/>
        </w:rPr>
        <w:t xml:space="preserve">было 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948EE" w:rsidRPr="00AF6131">
        <w:rPr>
          <w:rFonts w:ascii="Times New Roman" w:hAnsi="Times New Roman" w:cs="Times New Roman"/>
          <w:sz w:val="26"/>
          <w:szCs w:val="26"/>
        </w:rPr>
        <w:t>1,</w:t>
      </w:r>
      <w:r w:rsidR="00687CA3" w:rsidRPr="00AF6131">
        <w:rPr>
          <w:rFonts w:ascii="Times New Roman" w:hAnsi="Times New Roman" w:cs="Times New Roman"/>
          <w:sz w:val="26"/>
          <w:szCs w:val="26"/>
        </w:rPr>
        <w:t>8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млрд. рублей.</w:t>
      </w:r>
    </w:p>
    <w:p w:rsidR="004948EE" w:rsidRPr="00AF6131" w:rsidRDefault="004948EE" w:rsidP="00AF6131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Ежегодное обновление оказывает существенное влияние на структуру парка основной сельскохозяйственной техники. </w:t>
      </w:r>
      <w:r w:rsidR="00651907" w:rsidRPr="00AF6131">
        <w:rPr>
          <w:rFonts w:ascii="Times New Roman" w:hAnsi="Times New Roman" w:cs="Times New Roman"/>
          <w:sz w:val="26"/>
          <w:szCs w:val="26"/>
        </w:rPr>
        <w:t xml:space="preserve">В результате проводимых мероприятий </w:t>
      </w:r>
      <w:r w:rsidRPr="00AF6131">
        <w:rPr>
          <w:rFonts w:ascii="Times New Roman" w:hAnsi="Times New Roman" w:cs="Times New Roman"/>
          <w:sz w:val="26"/>
          <w:szCs w:val="26"/>
        </w:rPr>
        <w:t>за последние 5 лет структура парка по тракторам и комбайнам значительно «помолодела»</w:t>
      </w:r>
      <w:r w:rsidR="00651907" w:rsidRPr="00AF6131">
        <w:rPr>
          <w:rFonts w:ascii="Times New Roman" w:hAnsi="Times New Roman" w:cs="Times New Roman"/>
          <w:sz w:val="26"/>
          <w:szCs w:val="26"/>
        </w:rPr>
        <w:t>:</w:t>
      </w:r>
      <w:r w:rsidRPr="00AF6131">
        <w:rPr>
          <w:rFonts w:ascii="Times New Roman" w:hAnsi="Times New Roman" w:cs="Times New Roman"/>
          <w:sz w:val="26"/>
          <w:szCs w:val="26"/>
        </w:rPr>
        <w:t xml:space="preserve"> по тракторам на </w:t>
      </w:r>
      <w:r w:rsidR="004D2B3F" w:rsidRPr="00AF6131">
        <w:rPr>
          <w:rFonts w:ascii="Times New Roman" w:hAnsi="Times New Roman" w:cs="Times New Roman"/>
          <w:sz w:val="26"/>
          <w:szCs w:val="26"/>
        </w:rPr>
        <w:t>30</w:t>
      </w:r>
      <w:r w:rsidRPr="00AF6131">
        <w:rPr>
          <w:rFonts w:ascii="Times New Roman" w:hAnsi="Times New Roman" w:cs="Times New Roman"/>
          <w:sz w:val="26"/>
          <w:szCs w:val="26"/>
        </w:rPr>
        <w:t xml:space="preserve">%, по зерноуборочным комбайнам – на </w:t>
      </w:r>
      <w:r w:rsidR="004D2B3F" w:rsidRPr="00AF6131">
        <w:rPr>
          <w:rFonts w:ascii="Times New Roman" w:hAnsi="Times New Roman" w:cs="Times New Roman"/>
          <w:sz w:val="26"/>
          <w:szCs w:val="26"/>
        </w:rPr>
        <w:t>20</w:t>
      </w:r>
      <w:r w:rsidRPr="00AF6131">
        <w:rPr>
          <w:rFonts w:ascii="Times New Roman" w:hAnsi="Times New Roman" w:cs="Times New Roman"/>
          <w:sz w:val="26"/>
          <w:szCs w:val="26"/>
        </w:rPr>
        <w:t>%.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2022 году сельхозпредприятия, КФХ  района получ</w:t>
      </w:r>
      <w:r w:rsidR="0001593B" w:rsidRPr="00AF6131">
        <w:rPr>
          <w:rFonts w:ascii="Times New Roman" w:hAnsi="Times New Roman" w:cs="Times New Roman"/>
          <w:sz w:val="26"/>
          <w:szCs w:val="26"/>
        </w:rPr>
        <w:t>и</w:t>
      </w:r>
      <w:r w:rsidRPr="00AF6131">
        <w:rPr>
          <w:rFonts w:ascii="Times New Roman" w:hAnsi="Times New Roman" w:cs="Times New Roman"/>
          <w:sz w:val="26"/>
          <w:szCs w:val="26"/>
        </w:rPr>
        <w:t>ли государственную поддержку в виде субсидий по 17-ти направлениям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Pr="00AF6131">
        <w:rPr>
          <w:rFonts w:ascii="Times New Roman" w:hAnsi="Times New Roman" w:cs="Times New Roman"/>
          <w:sz w:val="26"/>
          <w:szCs w:val="26"/>
        </w:rPr>
        <w:t xml:space="preserve">293,2 млн. руб. (100,2% к уровню 2021 г. - 292,5 млн.руб.), в том числе по отрасли растениеводства — 56,7 млн. руб., по отрасли животноводства — 231,5 млн. руб. и по перерабатывающей отрасли — 5,0 млн. руб. </w:t>
      </w:r>
    </w:p>
    <w:p w:rsidR="004D2B3F" w:rsidRPr="00AF6131" w:rsidRDefault="00651907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Пятеро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претендентов участвовали в конкурсе на господдержку малых форм хозяйствования. Одна семейная ферма и четыре ЛПХ стали победителями в программе «</w:t>
      </w:r>
      <w:proofErr w:type="spellStart"/>
      <w:r w:rsidR="004D2B3F" w:rsidRPr="00AF6131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="004D2B3F" w:rsidRPr="00AF6131">
        <w:rPr>
          <w:rFonts w:ascii="Times New Roman" w:hAnsi="Times New Roman" w:cs="Times New Roman"/>
          <w:sz w:val="26"/>
          <w:szCs w:val="26"/>
        </w:rPr>
        <w:t>», что позволило получить гранты в общем размере на сумму 16,2 млн. руб.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 </w:t>
      </w:r>
      <w:r w:rsidR="004D2B3F" w:rsidRPr="00AF6131">
        <w:rPr>
          <w:rFonts w:ascii="Times New Roman" w:hAnsi="Times New Roman" w:cs="Times New Roman"/>
          <w:sz w:val="26"/>
          <w:szCs w:val="26"/>
        </w:rPr>
        <w:t>А общая сумма полученных грантов с начала действия программы (</w:t>
      </w:r>
      <w:r w:rsidRPr="00AF6131">
        <w:rPr>
          <w:rFonts w:ascii="Times New Roman" w:hAnsi="Times New Roman" w:cs="Times New Roman"/>
          <w:sz w:val="26"/>
          <w:szCs w:val="26"/>
        </w:rPr>
        <w:t xml:space="preserve">с </w:t>
      </w:r>
      <w:r w:rsidR="004D2B3F" w:rsidRPr="00AF6131">
        <w:rPr>
          <w:rFonts w:ascii="Times New Roman" w:hAnsi="Times New Roman" w:cs="Times New Roman"/>
          <w:sz w:val="26"/>
          <w:szCs w:val="26"/>
        </w:rPr>
        <w:t>2012 год</w:t>
      </w:r>
      <w:r w:rsidRPr="00AF6131">
        <w:rPr>
          <w:rFonts w:ascii="Times New Roman" w:hAnsi="Times New Roman" w:cs="Times New Roman"/>
          <w:sz w:val="26"/>
          <w:szCs w:val="26"/>
        </w:rPr>
        <w:t>а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) </w:t>
      </w:r>
      <w:r w:rsidR="0001593B" w:rsidRPr="00AF6131">
        <w:rPr>
          <w:rFonts w:ascii="Times New Roman" w:hAnsi="Times New Roman" w:cs="Times New Roman"/>
          <w:sz w:val="26"/>
          <w:szCs w:val="26"/>
        </w:rPr>
        <w:t>превысила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200,</w:t>
      </w:r>
      <w:r w:rsidRPr="00AF6131">
        <w:rPr>
          <w:rFonts w:ascii="Times New Roman" w:hAnsi="Times New Roman" w:cs="Times New Roman"/>
          <w:sz w:val="26"/>
          <w:szCs w:val="26"/>
        </w:rPr>
        <w:t>0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миллионов рублей. Полученные в 2022 году денежные средства </w:t>
      </w:r>
      <w:r w:rsidRPr="00AF6131">
        <w:rPr>
          <w:rFonts w:ascii="Times New Roman" w:hAnsi="Times New Roman" w:cs="Times New Roman"/>
          <w:sz w:val="26"/>
          <w:szCs w:val="26"/>
        </w:rPr>
        <w:t>были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направлены на приобретение 64 голов нетелей мясных пород, техники и оборудования для животноводческих ферм. </w:t>
      </w:r>
    </w:p>
    <w:p w:rsidR="00E66DAA" w:rsidRPr="00AF6131" w:rsidRDefault="00500D76" w:rsidP="00AF6131">
      <w:pPr>
        <w:tabs>
          <w:tab w:val="left" w:pos="0"/>
          <w:tab w:val="left" w:pos="142"/>
          <w:tab w:val="left" w:pos="28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целевой программы «Комплексное развитие сельских территорий»</w:t>
      </w:r>
      <w:r w:rsidR="00E66DAA"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1593B" w:rsidRPr="00AF6131" w:rsidRDefault="0001593B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iCs/>
          <w:sz w:val="26"/>
          <w:szCs w:val="26"/>
        </w:rPr>
        <w:t xml:space="preserve">- построены жилые дома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на общую сумму 10,6 млн.руб., в том числе: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в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с.Домашка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4,2 млн.руб.,  </w:t>
      </w:r>
      <w:r w:rsidR="00D16745" w:rsidRPr="00AF6131">
        <w:rPr>
          <w:rFonts w:ascii="Times New Roman" w:hAnsi="Times New Roman" w:cs="Times New Roman"/>
          <w:iCs/>
          <w:sz w:val="26"/>
          <w:szCs w:val="26"/>
        </w:rPr>
        <w:t xml:space="preserve">п.Комсомольский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3,2 млн.руб.,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с.Чубовка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51907"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3,2 млн.руб.;</w:t>
      </w:r>
    </w:p>
    <w:p w:rsidR="0001593B" w:rsidRPr="00AF6131" w:rsidRDefault="0001593B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hAnsi="Times New Roman" w:cs="Times New Roman"/>
          <w:bCs/>
          <w:iCs/>
          <w:sz w:val="26"/>
          <w:szCs w:val="26"/>
        </w:rPr>
        <w:t>- "Пеший маршрут" протяженностью 630 п.м.  в п.Комсомольский на 2,4 млн.руб.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В </w:t>
      </w:r>
      <w:r w:rsidR="00EB642E">
        <w:rPr>
          <w:rFonts w:ascii="Times New Roman" w:hAnsi="Times New Roman" w:cs="Times New Roman"/>
          <w:sz w:val="26"/>
          <w:szCs w:val="26"/>
        </w:rPr>
        <w:t>отчетном</w:t>
      </w:r>
      <w:r w:rsidRPr="00AF6131">
        <w:rPr>
          <w:rFonts w:ascii="Times New Roman" w:hAnsi="Times New Roman" w:cs="Times New Roman"/>
          <w:sz w:val="26"/>
          <w:szCs w:val="26"/>
        </w:rPr>
        <w:t xml:space="preserve"> году была продолжена реализация инвестиционных проектов: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 ООО НПП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» - по закладке плодовых насаждений яблонь, вишни на площади 138 гектаров, общая площадь с начала реализации проекта — 231 гектар;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Мясной завод ООО "Пионер" по переработке мяса различных видов животных и птицы. В настоящее время на предприятии производятся деликатесы, колбасы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комплекса по откорму бычков на мясо, что позволит увеличить объемы производства и создать 250 рабочих мест;</w:t>
      </w:r>
    </w:p>
    <w:p w:rsidR="00651907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</w:t>
      </w:r>
      <w:r w:rsidR="00651907" w:rsidRPr="00AF6131">
        <w:rPr>
          <w:rFonts w:ascii="Times New Roman" w:hAnsi="Times New Roman" w:cs="Times New Roman"/>
          <w:sz w:val="26"/>
          <w:szCs w:val="26"/>
        </w:rPr>
        <w:t>ООО „</w:t>
      </w:r>
      <w:proofErr w:type="spellStart"/>
      <w:r w:rsidR="00651907" w:rsidRPr="00AF6131">
        <w:rPr>
          <w:rFonts w:ascii="Times New Roman" w:hAnsi="Times New Roman" w:cs="Times New Roman"/>
          <w:sz w:val="26"/>
          <w:szCs w:val="26"/>
        </w:rPr>
        <w:t>Биогрин</w:t>
      </w:r>
      <w:proofErr w:type="spellEnd"/>
      <w:r w:rsidR="00651907" w:rsidRPr="00AF6131">
        <w:rPr>
          <w:rFonts w:ascii="Times New Roman" w:hAnsi="Times New Roman" w:cs="Times New Roman"/>
          <w:sz w:val="26"/>
          <w:szCs w:val="26"/>
        </w:rPr>
        <w:t>“ - по выращиванию белого мраморного гриба.</w:t>
      </w:r>
    </w:p>
    <w:p w:rsidR="00651907" w:rsidRPr="00AF6131" w:rsidRDefault="00651907" w:rsidP="00AF6131">
      <w:pPr>
        <w:tabs>
          <w:tab w:val="left" w:pos="0"/>
          <w:tab w:val="left" w:pos="142"/>
          <w:tab w:val="left" w:pos="28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целевой программы «Комплексное развитие сельских территорий»:</w:t>
      </w:r>
    </w:p>
    <w:p w:rsidR="00651907" w:rsidRPr="00AF6131" w:rsidRDefault="00651907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iCs/>
          <w:sz w:val="26"/>
          <w:szCs w:val="26"/>
        </w:rPr>
        <w:t xml:space="preserve">- построены жилые дома на общую сумму 10,6 млн.руб., в том числе: в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с.Домашка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4,2 млн.руб., 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п.Комсомольский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3,2 млн.руб.,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с.Чубовка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на 3,2 млн.руб.;</w:t>
      </w:r>
    </w:p>
    <w:p w:rsidR="00651907" w:rsidRPr="00AF6131" w:rsidRDefault="00651907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hAnsi="Times New Roman" w:cs="Times New Roman"/>
          <w:bCs/>
          <w:iCs/>
          <w:sz w:val="26"/>
          <w:szCs w:val="26"/>
        </w:rPr>
        <w:t>- "Пеший маршрут" протяженностью 630 п.м.  в п.Комсомольский на 2,4 млн.руб.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9CC" w:rsidRPr="00AF6131" w:rsidRDefault="001C09CC" w:rsidP="00AF6131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 xml:space="preserve">Осуществление контроля ситуации на рынке труда </w:t>
      </w:r>
      <w:r w:rsidRPr="00AF6131">
        <w:rPr>
          <w:rFonts w:ascii="Times New Roman" w:hAnsi="Times New Roman" w:cs="Times New Roman"/>
          <w:sz w:val="26"/>
          <w:szCs w:val="26"/>
        </w:rPr>
        <w:t>остается приоритетным направлением деятельности администрации.</w:t>
      </w:r>
    </w:p>
    <w:p w:rsidR="00E322FB" w:rsidRPr="00AF6131" w:rsidRDefault="00E322FB" w:rsidP="00AF613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Ситуация на рынке труда и в сфере занятости населения Кинельского района в 2022 году, несмотря </w:t>
      </w:r>
      <w:r w:rsidR="00445DDF" w:rsidRPr="00AF6131">
        <w:rPr>
          <w:rFonts w:ascii="Times New Roman" w:eastAsia="Calibri" w:hAnsi="Times New Roman" w:cs="Times New Roman"/>
          <w:sz w:val="26"/>
          <w:szCs w:val="26"/>
        </w:rPr>
        <w:t xml:space="preserve">на последствия </w:t>
      </w:r>
      <w:proofErr w:type="spellStart"/>
      <w:r w:rsidR="00445DDF" w:rsidRPr="00AF6131">
        <w:rPr>
          <w:rFonts w:ascii="Times New Roman" w:eastAsia="Calibri" w:hAnsi="Times New Roman" w:cs="Times New Roman"/>
          <w:sz w:val="26"/>
          <w:szCs w:val="26"/>
        </w:rPr>
        <w:t>падемийного</w:t>
      </w:r>
      <w:proofErr w:type="spellEnd"/>
      <w:r w:rsidR="00445DDF" w:rsidRPr="00AF6131">
        <w:rPr>
          <w:rFonts w:ascii="Times New Roman" w:eastAsia="Calibri" w:hAnsi="Times New Roman" w:cs="Times New Roman"/>
          <w:sz w:val="26"/>
          <w:szCs w:val="26"/>
        </w:rPr>
        <w:t xml:space="preserve"> периода 2020-2021 гг. и</w:t>
      </w: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 воздействие антироссийских санкций, остается достаточно стабильной и контролируемой</w:t>
      </w:r>
      <w:r w:rsidR="00445DDF" w:rsidRPr="00AF6131">
        <w:rPr>
          <w:rFonts w:ascii="Times New Roman" w:eastAsia="Calibri" w:hAnsi="Times New Roman" w:cs="Times New Roman"/>
          <w:sz w:val="26"/>
          <w:szCs w:val="26"/>
        </w:rPr>
        <w:t>. С</w:t>
      </w: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ерьезного изменения на рынке труда не наблюдается.  </w:t>
      </w:r>
    </w:p>
    <w:p w:rsidR="00AA67CC" w:rsidRDefault="00AA67CC" w:rsidP="00AF613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Однако динамика численности безработных очень чувствительна к происходящим событиям как внутри страны, так и за ее пределами. Так начало пандемии спровоцировало  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рост численности </w:t>
      </w:r>
      <w:r w:rsidR="001C09CC" w:rsidRPr="00AF6131">
        <w:rPr>
          <w:rFonts w:ascii="Times New Roman" w:eastAsia="Times New Roman" w:hAnsi="Times New Roman" w:cs="Times New Roman"/>
          <w:b/>
          <w:sz w:val="26"/>
          <w:szCs w:val="26"/>
        </w:rPr>
        <w:t xml:space="preserve">безработных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в 2,4 раза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 xml:space="preserve">на 01.01.2021 года  </w:t>
      </w:r>
      <w:r>
        <w:rPr>
          <w:rFonts w:ascii="Times New Roman" w:eastAsia="Times New Roman" w:hAnsi="Times New Roman" w:cs="Times New Roman"/>
          <w:sz w:val="26"/>
          <w:szCs w:val="26"/>
        </w:rPr>
        <w:t>было зарегистрировано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 xml:space="preserve"> 379 чел. 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безработных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при уровне официальной безработицы 2,2%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, в то время как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на 01.01.2020 года численность безработных составляла 157 чел. с уровнем безработицы –0,9%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45DDF" w:rsidRPr="00AF6131" w:rsidRDefault="00445DDF" w:rsidP="00AF613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>К концу 2021 г. ситуацию удалось переломить и</w:t>
      </w:r>
      <w:r w:rsidR="00E66DAA" w:rsidRPr="00AF6131">
        <w:rPr>
          <w:rFonts w:ascii="Times New Roman" w:eastAsia="Times New Roman" w:hAnsi="Times New Roman" w:cs="Times New Roman"/>
          <w:sz w:val="26"/>
          <w:szCs w:val="26"/>
        </w:rPr>
        <w:t xml:space="preserve"> на 01.01.2022 года численность безработных снизилась на 237 чел. (на 62,5%) и  составила 142 чел. при уровне официальной безработицы 0,82%</w:t>
      </w:r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 xml:space="preserve">, что ниже </w:t>
      </w:r>
      <w:proofErr w:type="spellStart"/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>допандемийного</w:t>
      </w:r>
      <w:proofErr w:type="spellEnd"/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 xml:space="preserve"> уровня.</w:t>
      </w:r>
      <w:r w:rsidR="00651907" w:rsidRPr="00AF6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22FB" w:rsidRPr="00AF6131" w:rsidRDefault="00651907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</w:t>
      </w:r>
      <w:r w:rsidR="00E322FB" w:rsidRPr="00AF6131">
        <w:rPr>
          <w:rFonts w:ascii="Times New Roman" w:hAnsi="Times New Roman" w:cs="Times New Roman"/>
          <w:sz w:val="26"/>
          <w:szCs w:val="26"/>
        </w:rPr>
        <w:t xml:space="preserve">на 31.12.2022 года </w:t>
      </w:r>
      <w:r w:rsidR="00445DDF" w:rsidRPr="00AF6131">
        <w:rPr>
          <w:rFonts w:ascii="Times New Roman" w:hAnsi="Times New Roman" w:cs="Times New Roman"/>
          <w:sz w:val="26"/>
          <w:szCs w:val="26"/>
        </w:rPr>
        <w:t>число безработных составило</w:t>
      </w:r>
      <w:r w:rsidR="00E322FB" w:rsidRPr="00AF6131">
        <w:rPr>
          <w:rFonts w:ascii="Times New Roman" w:hAnsi="Times New Roman" w:cs="Times New Roman"/>
          <w:sz w:val="26"/>
          <w:szCs w:val="26"/>
        </w:rPr>
        <w:t xml:space="preserve"> 131 чел. (92,3% к уровню 2021 г. – 142 чел.). Уровень зарегистрированной безработицы в муниципальном районе относительно численности экономически активного  населения на 31.12.2022 г. составил 0,78% (в 2021 году – 0,82%).</w:t>
      </w:r>
    </w:p>
    <w:p w:rsidR="00E322FB" w:rsidRPr="00AF6131" w:rsidRDefault="00E322FB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Средний перио</w:t>
      </w:r>
      <w:r w:rsidR="00445DDF" w:rsidRPr="00AF6131">
        <w:rPr>
          <w:rFonts w:ascii="Times New Roman" w:hAnsi="Times New Roman" w:cs="Times New Roman"/>
          <w:sz w:val="26"/>
          <w:szCs w:val="26"/>
        </w:rPr>
        <w:t xml:space="preserve">д продолжительности безработицы по сравнению с аналогичным периодом прошлого года (4,5 мес.) </w:t>
      </w:r>
      <w:r w:rsidRPr="00AF6131">
        <w:rPr>
          <w:rFonts w:ascii="Times New Roman" w:hAnsi="Times New Roman" w:cs="Times New Roman"/>
          <w:sz w:val="26"/>
          <w:szCs w:val="26"/>
        </w:rPr>
        <w:t>уменьшился  и состав</w:t>
      </w:r>
      <w:r w:rsidR="00AA67CC">
        <w:rPr>
          <w:rFonts w:ascii="Times New Roman" w:hAnsi="Times New Roman" w:cs="Times New Roman"/>
          <w:sz w:val="26"/>
          <w:szCs w:val="26"/>
        </w:rPr>
        <w:t>ил</w:t>
      </w:r>
      <w:r w:rsidRPr="00AF6131">
        <w:rPr>
          <w:rFonts w:ascii="Times New Roman" w:hAnsi="Times New Roman" w:cs="Times New Roman"/>
          <w:sz w:val="26"/>
          <w:szCs w:val="26"/>
        </w:rPr>
        <w:t>  3,88 мес.</w:t>
      </w:r>
    </w:p>
    <w:p w:rsidR="00445DDF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Положение на рынке труда муниципального района Кинельский по сравнению с аналогичным периодом прошлого года в течение 2022 года характеризовалось снижением на 9,3% (с 722 чел. до 655 чел.) обращений граждан  за содействием в поиске работы в государственное казенное учреждение Самарской области «Центр занятости населения городского округа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lastRenderedPageBreak/>
        <w:t xml:space="preserve">При содействии Центра занятости населения </w:t>
      </w:r>
      <w:r w:rsidR="00445DDF" w:rsidRPr="00AF6131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AF6131">
        <w:rPr>
          <w:rFonts w:ascii="Times New Roman" w:hAnsi="Times New Roman" w:cs="Times New Roman"/>
          <w:sz w:val="26"/>
          <w:szCs w:val="26"/>
        </w:rPr>
        <w:t>трудоустроено 447 чел., что составляет 68,2% от общего количества граждан, обратившихся за содействием в поиске подходящей работы.</w:t>
      </w:r>
    </w:p>
    <w:p w:rsidR="00D16745" w:rsidRPr="00AF6131" w:rsidRDefault="00D16745" w:rsidP="00AF6131">
      <w:pPr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За 2022 года от организаций и предприятий муниципального района Кинельский и городского округа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в ГКУСО ЦЗН г.о.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заявлены 621 вакансия, из которых 99,1% с уровнем заработной платы выше величины прожиточного минимума.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На 31.12.2022г. потребность в работниках составляла 286 ед., из них для замещения рабочих профессий – 218 ед., что составляет 76,2%  от общей потребности в работниках.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Для снижения напряженности на рынке труда м.р. Кинельский и в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 целях обеспечения дополнительных гарантий занятости граждан, испытывающих трудности в поиске работы заключено 7 договоров с предприятиями </w:t>
      </w:r>
      <w:r w:rsidRPr="00AF6131">
        <w:rPr>
          <w:rFonts w:ascii="Times New Roman" w:hAnsi="Times New Roman" w:cs="Times New Roman"/>
          <w:sz w:val="26"/>
          <w:szCs w:val="26"/>
        </w:rPr>
        <w:t xml:space="preserve">м.р. Кинельский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для временного трудоустройства безработных граждан, особо нуждающихся в социальной защите</w:t>
      </w:r>
      <w:r w:rsidR="00445DDF" w:rsidRPr="00AF6131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 на создание 22 рабочих мест. Фактически трудоустроено 22 человека. 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С целью информирования и трудоустройства соискателей на вакансии предприятий м.р. Кинельский за  2022 год центром занятости были организованы 9 ярмарок вакансий из них: 8 – выездных отдела кадров; 1 –  ярмарка вакансий. </w:t>
      </w:r>
    </w:p>
    <w:p w:rsidR="00445DDF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16 безработных направл</w:t>
      </w:r>
      <w:r w:rsidR="00AA67CC">
        <w:rPr>
          <w:rFonts w:ascii="Times New Roman" w:hAnsi="Times New Roman" w:cs="Times New Roman"/>
          <w:sz w:val="26"/>
          <w:szCs w:val="26"/>
        </w:rPr>
        <w:t>ены</w:t>
      </w:r>
      <w:r w:rsidRPr="00AF6131">
        <w:rPr>
          <w:rFonts w:ascii="Times New Roman" w:hAnsi="Times New Roman" w:cs="Times New Roman"/>
          <w:sz w:val="26"/>
          <w:szCs w:val="26"/>
        </w:rPr>
        <w:t xml:space="preserve"> на профессиональное обучение по профессиям и специальностям, пользующихся наибольшим спросом на рынке труда</w:t>
      </w:r>
      <w:r w:rsidR="00445DDF" w:rsidRPr="00AF6131">
        <w:rPr>
          <w:rFonts w:ascii="Times New Roman" w:hAnsi="Times New Roman" w:cs="Times New Roman"/>
          <w:sz w:val="26"/>
          <w:szCs w:val="26"/>
        </w:rPr>
        <w:t>.</w:t>
      </w:r>
    </w:p>
    <w:p w:rsidR="00D16745" w:rsidRPr="00AF6131" w:rsidRDefault="00D1674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целях развития предпринимательской инициативы незанятых граждан была выделена финансовая помощь на открытие ИП на общую сумму 300,0 тыс.руб. В результате трое безработных                                                                                                                                                                                              зарегистрировали свою индивидуальную  трудовую деятельность.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ГКУСО «Центр занятости населения г.о.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</w:t>
      </w:r>
      <w:r w:rsidR="00445DDF" w:rsidRPr="00AF6131">
        <w:rPr>
          <w:rFonts w:ascii="Times New Roman" w:hAnsi="Times New Roman" w:cs="Times New Roman"/>
          <w:sz w:val="26"/>
          <w:szCs w:val="26"/>
        </w:rPr>
        <w:t>были</w:t>
      </w:r>
      <w:r w:rsidR="00E433B7" w:rsidRPr="00AF6131">
        <w:rPr>
          <w:rFonts w:ascii="Times New Roman" w:hAnsi="Times New Roman" w:cs="Times New Roman"/>
          <w:sz w:val="26"/>
          <w:szCs w:val="26"/>
        </w:rPr>
        <w:t xml:space="preserve"> </w:t>
      </w:r>
      <w:r w:rsidRPr="00AF6131">
        <w:rPr>
          <w:rFonts w:ascii="Times New Roman" w:hAnsi="Times New Roman" w:cs="Times New Roman"/>
          <w:sz w:val="26"/>
          <w:szCs w:val="26"/>
        </w:rPr>
        <w:t>предостав</w:t>
      </w:r>
      <w:r w:rsidR="00E433B7" w:rsidRPr="00AF6131">
        <w:rPr>
          <w:rFonts w:ascii="Times New Roman" w:hAnsi="Times New Roman" w:cs="Times New Roman"/>
          <w:sz w:val="26"/>
          <w:szCs w:val="26"/>
        </w:rPr>
        <w:t xml:space="preserve">лены </w:t>
      </w:r>
      <w:r w:rsidRPr="00AF6131">
        <w:rPr>
          <w:rFonts w:ascii="Times New Roman" w:hAnsi="Times New Roman" w:cs="Times New Roman"/>
          <w:sz w:val="26"/>
          <w:szCs w:val="26"/>
        </w:rPr>
        <w:t xml:space="preserve">профессиональные консультации – 442 гражданам, оказана психологическая поддержка – 25  безработным гражданам. </w:t>
      </w:r>
    </w:p>
    <w:p w:rsidR="00D16745" w:rsidRDefault="00D16745" w:rsidP="00AF6131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 xml:space="preserve">В рамках </w:t>
      </w:r>
      <w:r w:rsidRPr="00AF6131">
        <w:rPr>
          <w:rFonts w:ascii="Times New Roman" w:hAnsi="Times New Roman" w:cs="Times New Roman"/>
          <w:sz w:val="26"/>
          <w:szCs w:val="26"/>
        </w:rPr>
        <w:t xml:space="preserve">национального проекта «Малый и средний бизнес и поддержка индивидуальной предпринимательской инициативы» за истекший год из средств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Фонда – </w:t>
      </w:r>
      <w:proofErr w:type="spellStart"/>
      <w:r w:rsidRPr="00AF6131">
        <w:rPr>
          <w:rFonts w:ascii="Times New Roman" w:hAnsi="Times New Roman" w:cs="Times New Roman"/>
          <w:bCs/>
          <w:sz w:val="26"/>
          <w:szCs w:val="26"/>
        </w:rPr>
        <w:t>микрокредитная</w:t>
      </w:r>
      <w:proofErr w:type="spellEnd"/>
      <w:r w:rsidRPr="00AF6131">
        <w:rPr>
          <w:rFonts w:ascii="Times New Roman" w:hAnsi="Times New Roman" w:cs="Times New Roman"/>
          <w:bCs/>
          <w:sz w:val="26"/>
          <w:szCs w:val="26"/>
        </w:rPr>
        <w:t xml:space="preserve"> компания МР Кинельский</w:t>
      </w:r>
      <w:r w:rsidRPr="00AF6131">
        <w:rPr>
          <w:rFonts w:ascii="Times New Roman" w:hAnsi="Times New Roman" w:cs="Times New Roman"/>
          <w:sz w:val="26"/>
          <w:szCs w:val="26"/>
        </w:rPr>
        <w:t xml:space="preserve"> выдано 15 займов на сумму 15,65 млн.руб.</w:t>
      </w:r>
      <w:r w:rsidRPr="00AF6131">
        <w:rPr>
          <w:rFonts w:ascii="Times New Roman" w:hAnsi="Times New Roman" w:cs="Times New Roman"/>
          <w:bCs/>
          <w:sz w:val="26"/>
          <w:szCs w:val="26"/>
        </w:rPr>
        <w:t>, из них 4 займа  (8,45 млн.руб.) получили юридические лица и 11 займов - индивидуальные предприниматели (7,2 млн.руб.).</w:t>
      </w:r>
    </w:p>
    <w:p w:rsidR="00AF6131" w:rsidRPr="00AF6131" w:rsidRDefault="00AF6131" w:rsidP="00AF6131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543" w:rsidRPr="00AF6131" w:rsidRDefault="00B23543" w:rsidP="00AF6131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Привлечение инвестиций в экономику муниципального района Кинельский 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залогом его успешного развития.</w:t>
      </w:r>
    </w:p>
    <w:p w:rsidR="008257C5" w:rsidRPr="00AF6131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По итогам 2022 года объем инвестиций в основной капитал за счет всех источников финансирования в районе составил 3796,0 млн.руб. - 140,8% в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сопоставимых ценах к аналогичному периоду прошлого года (2338,7 млн.руб.). Номинальный рост объема инвестиций составил 1457,3 млн.руб.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В обеспечении инвестиционного развития предприятий и организаций района сохраняется ведущая роль самофинансирования. По итогам 2022 года в структуре инвестиций в основной капитал собственные средства организаций составили 87,8% (3331,7 млн.руб.), привлеченных - 12,2% (464,3 млн.руб.), из которых  бюджетных средств - 427,8 млн.руб. (включая средства федерального бюджета - 198,7 млн.руб., областного - 212,5 млн.руб., местного - 15,6 млн.руб.), банковских кредитов и заемных средств других организаций - 36,1 млн.руб., прочих инвестиций - 0,4 млн.руб. По сравнению с 2021 годом бюджетное финансирование инвестиционных проектов увеличилось в 2,8  раза (в сопоставимых ценах). Доля бюджетных средств в общем объеме инвестиций составила 11,3% (в 2021 году - 5,6%).</w:t>
      </w:r>
    </w:p>
    <w:p w:rsidR="008257C5" w:rsidRPr="00AF6131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Основное влияние на рост инвестиций оказали предприятия, осуществляющие деятельность в сфере добычи и транспортировки нефти: АО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", филиалы АО 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» Самарского РНУ, АО 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Бугурусланского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РНУ. 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Тем не менее в 2022 году завершены ряд инвестиционных проектов на общую сумму 264,2 млн.руб., в том числе: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"Полезные продукты питания" ООО "СПК";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закупке сельскохозяйственной техники и ремонту коровников СПК (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к-з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) им. Куйбышева;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по модернизации оборудования, покупке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тестоделителя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для увеличения объемов производства хлебобулочных и кондитерских изделий ООО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Агропродукт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по закупке сельскохозяйственной техники </w:t>
      </w:r>
      <w:r w:rsidR="003220E6">
        <w:rPr>
          <w:rFonts w:ascii="Times New Roman" w:hAnsi="Times New Roman" w:cs="Times New Roman"/>
          <w:sz w:val="26"/>
          <w:szCs w:val="26"/>
        </w:rPr>
        <w:t>ООО "Агрокомплекс им.</w:t>
      </w:r>
      <w:r w:rsidRPr="00AF6131">
        <w:rPr>
          <w:rFonts w:ascii="Times New Roman" w:hAnsi="Times New Roman" w:cs="Times New Roman"/>
          <w:sz w:val="26"/>
          <w:szCs w:val="26"/>
        </w:rPr>
        <w:t xml:space="preserve"> Калягина;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строительству зерноочистительного комплекса ООО "Компания "БИО-ТОН";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приобретению оборудования для переработки зерна в сортовую муку ООО "Самарские мельницы".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Продолжат реализацию проекты на сумму более 1341,0 млн.руб.</w:t>
      </w:r>
      <w:r w:rsidR="003220E6">
        <w:rPr>
          <w:rFonts w:ascii="Times New Roman" w:hAnsi="Times New Roman" w:cs="Times New Roman"/>
          <w:sz w:val="26"/>
          <w:szCs w:val="26"/>
        </w:rPr>
        <w:t>, в том числе</w:t>
      </w:r>
      <w:r w:rsidRPr="00AF6131">
        <w:rPr>
          <w:rFonts w:ascii="Times New Roman" w:hAnsi="Times New Roman" w:cs="Times New Roman"/>
          <w:sz w:val="26"/>
          <w:szCs w:val="26"/>
        </w:rPr>
        <w:t>: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строительство сельскохозяйственного комплекса "Пионер;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установка линии по розливу пива в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ПЭТ-кэги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АО "Балтика-Самара";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строительство комплекса по промышленному выращиванию и переработки гриба шампиньонов на компосте собственного производства ООО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Орикс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выращивание фруктово-ягодных культур, хранение и переработка плодов ООО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 и другие.</w:t>
      </w:r>
    </w:p>
    <w:p w:rsidR="008257C5" w:rsidRPr="00AF6131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Несмотря  на экономические трудности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AF6131">
        <w:rPr>
          <w:rFonts w:ascii="Times New Roman" w:hAnsi="Times New Roman" w:cs="Times New Roman"/>
          <w:bCs/>
          <w:sz w:val="26"/>
          <w:szCs w:val="26"/>
        </w:rPr>
        <w:t>Кинельском</w:t>
      </w:r>
      <w:proofErr w:type="spellEnd"/>
      <w:r w:rsidRPr="00AF6131">
        <w:rPr>
          <w:rFonts w:ascii="Times New Roman" w:hAnsi="Times New Roman" w:cs="Times New Roman"/>
          <w:bCs/>
          <w:sz w:val="26"/>
          <w:szCs w:val="26"/>
        </w:rPr>
        <w:t xml:space="preserve"> районе продолжаются работы по строительству и ремонту жилья и социальных объектов, способствующие повышению привлекательности территории.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Были реализованы также такие значимые и масштабные проекты, как: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капитальный ремонт СОШ с.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Бузаевка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стоимостью 37,5 млн.руб. и благоустройство ее территории на сумму 2,2 млн.руб. с привлечение средств федерального (15,9 млн.руб.) и регионального (9,0 млн.руб.) бюджетов;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в рамках национального проекта "Образование" из средств местного бюджета проведен ремонт общеобразовательных учреждений по внедрению цифровой образовательной среды и по программе "Точка роста" в селах Красносамарское (1,2 млн.руб.),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Сырейка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(0,4 млн.руб.), Алакаевка                                (0,5 млн.руб.), Домашка (0,7 млн.руб.), Георгиевка (1,3 млн.руб.), Бобровка (2,5 млн.руб.).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По состоянию на 31.12.2023 г. полностью завершен ремонт автомобильных дорог на общую сумму 41,7 млн.руб., включая средства дорожного фонда, в том числе в сельских поселениях: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 - Георгиевка 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>емонт участков дороги по ул.Набережная от дома №1 до дома №15, от дома №15 до ул.Кооперативная, от дома №106 до дома №112; ул.Колхозная от дома №68 до ул.Украинская на сумму 9,7 млн.руб.;</w:t>
      </w:r>
      <w:r w:rsidRPr="00AF6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Малая Малышевка - ремонт участка дороги по ул.Советская от дома №128 до дома №64 на сумму 7,2 млн.руб.;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Красносамарское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емонт участков дороги по ул. </w:t>
      </w:r>
      <w:proofErr w:type="spellStart"/>
      <w:r w:rsidRPr="00AF6131">
        <w:rPr>
          <w:rFonts w:ascii="Times New Roman" w:hAnsi="Times New Roman" w:cs="Times New Roman"/>
          <w:sz w:val="26"/>
          <w:szCs w:val="26"/>
          <w:lang w:eastAsia="ar-SA"/>
        </w:rPr>
        <w:t>Зрящева</w:t>
      </w:r>
      <w:proofErr w:type="spellEnd"/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 от дома №95 до дома №108; ул. Южная от ул.Кооперативная до ул. Советская на сумму  9,9 млн.руб.;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F6131">
        <w:rPr>
          <w:rFonts w:ascii="Times New Roman" w:hAnsi="Times New Roman" w:cs="Times New Roman"/>
          <w:sz w:val="26"/>
          <w:szCs w:val="26"/>
        </w:rPr>
        <w:t>- Новый Сарбай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>емонт участков дороги по ул.Полевая от дома №1 до дома №27, проезд между ул.Школьной и ул.Полевой, устройство автомобильной парковки по ул.Школьной на сумму 12,7 млн.руб.;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F6131">
        <w:rPr>
          <w:rFonts w:ascii="Times New Roman" w:hAnsi="Times New Roman" w:cs="Times New Roman"/>
          <w:sz w:val="26"/>
          <w:szCs w:val="26"/>
        </w:rPr>
        <w:t>- Чубовка - З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аводской проезд в </w:t>
      </w:r>
      <w:proofErr w:type="spellStart"/>
      <w:r w:rsidRPr="00AF6131">
        <w:rPr>
          <w:rFonts w:ascii="Times New Roman" w:hAnsi="Times New Roman" w:cs="Times New Roman"/>
          <w:sz w:val="26"/>
          <w:szCs w:val="26"/>
          <w:lang w:eastAsia="ar-SA"/>
        </w:rPr>
        <w:t>с.Сырейка</w:t>
      </w:r>
      <w:proofErr w:type="spellEnd"/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 от центральной проходной ООО «Электрощит» до границ м.р.Кинельский на сумму 2,2 млн.руб.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Cs/>
          <w:sz w:val="26"/>
          <w:szCs w:val="26"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AF6131">
        <w:rPr>
          <w:rFonts w:ascii="Times New Roman" w:hAnsi="Times New Roman" w:cs="Times New Roman"/>
          <w:sz w:val="26"/>
          <w:szCs w:val="26"/>
        </w:rPr>
        <w:t xml:space="preserve"> по состоянию на 31.12.2022 г. выполнены работы по благоустройству на общую сумму 15,0 млн.руб., в том числе:   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- 3 дворовых территорий многоквартирных домов с.Красносамарское сельского поселения Красносамарское Кинельского района Самарской области;  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- 6 дворовых территорий многоквартирных домов с. Чубовка сельского поселения Чубовка Кинельского района Самарской области;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lastRenderedPageBreak/>
        <w:t xml:space="preserve">- 5 дворовых территорий многоквартирных домов с.Малая Малышевка сельского поселения Малая Малышевка Кинельского района Самарской области; </w:t>
      </w:r>
    </w:p>
    <w:p w:rsid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- 5 дворовых территорий многоквартирных домов с.Богдановка сельского поселения Богдановка Кинельского района Самарской области; 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общественной территории - парк Победы в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с.Чубовка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, ул.Нефтяников, 13 (строительство тротуарных дорожек, установка декоративных фонарей, установка лавочек и урн); 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общественной территории - площадь при СДК в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с.Бузаевка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 (асфальтирование территории, устройство освещения, установка скамеек, урн);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общественной территории – парк Победы при СДК п.Комсомольский (строительство тротуарных дорожек, восстановление и замена зелёных насаждений, установка лавочек, урн, устройство освещения);</w:t>
      </w:r>
    </w:p>
    <w:p w:rsidR="008257C5" w:rsidRPr="00AF6131" w:rsidRDefault="008257C5" w:rsidP="00AF6131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общественной территории – парк искусств по ул.Школьной в с.Георгиевка (установка уличной сцены, асфальтирование территории, установка декоративных ограждений, устройство освещения, озеленение территории, установка лавочек, урн).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В целях обеспечения доступной среды для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групп граждан произведен монтаж пандусов в ГБОУ СОШ . Большая Малышевка и пос. Угорье на общую сумму 957,3 тыс.руб.</w:t>
      </w:r>
    </w:p>
    <w:p w:rsidR="00B23543" w:rsidRPr="00AF6131" w:rsidRDefault="00B23543" w:rsidP="00AF6131">
      <w:pPr>
        <w:tabs>
          <w:tab w:val="left" w:pos="0"/>
          <w:tab w:val="left" w:pos="993"/>
          <w:tab w:val="left" w:pos="1134"/>
        </w:tabs>
        <w:spacing w:after="0" w:line="28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35DF8" w:rsidRPr="00AF6131" w:rsidRDefault="00E35DF8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hAnsi="Times New Roman" w:cs="Times New Roman"/>
          <w:sz w:val="26"/>
          <w:szCs w:val="26"/>
        </w:rPr>
        <w:t>Другим не менее значимым направлением является</w:t>
      </w:r>
      <w:r w:rsidRPr="00AF6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E35DF8" w:rsidRPr="00AF6131" w:rsidRDefault="00E35DF8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Ежегодно на территории сельских поселений проводится комплекс мер, направленных на поддержание </w:t>
      </w:r>
      <w:r w:rsidRPr="00AF6131">
        <w:rPr>
          <w:rStyle w:val="extended-textshort"/>
          <w:rFonts w:ascii="Times New Roman" w:hAnsi="Times New Roman" w:cs="Times New Roman"/>
          <w:sz w:val="26"/>
          <w:szCs w:val="26"/>
        </w:rPr>
        <w:t xml:space="preserve">надлежащего технического состояния автомобильных дорог, оценку их технического состояния, а также по организации и обеспечению безопасности </w:t>
      </w:r>
      <w:r w:rsidRPr="00AF6131">
        <w:rPr>
          <w:rStyle w:val="extended-textshort"/>
          <w:rFonts w:ascii="Times New Roman" w:hAnsi="Times New Roman" w:cs="Times New Roman"/>
          <w:bCs/>
          <w:sz w:val="26"/>
          <w:szCs w:val="26"/>
        </w:rPr>
        <w:t>дорожного</w:t>
      </w:r>
      <w:r w:rsidRPr="00AF6131">
        <w:rPr>
          <w:rStyle w:val="extended-textshort"/>
          <w:rFonts w:ascii="Times New Roman" w:hAnsi="Times New Roman" w:cs="Times New Roman"/>
          <w:sz w:val="26"/>
          <w:szCs w:val="26"/>
        </w:rPr>
        <w:t xml:space="preserve"> движения.</w:t>
      </w:r>
    </w:p>
    <w:p w:rsidR="009D1ED2" w:rsidRPr="00AF6131" w:rsidRDefault="009D1ED2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В 202</w:t>
      </w:r>
      <w:r w:rsidR="008257C5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дорожные работы направлено </w:t>
      </w:r>
      <w:r w:rsidR="008257C5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41 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 рублей.</w:t>
      </w:r>
    </w:p>
    <w:p w:rsidR="005226F3" w:rsidRPr="00AF6131" w:rsidRDefault="006A73AF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Это </w:t>
      </w:r>
      <w:r w:rsidR="00C46A38"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позволило </w:t>
      </w:r>
      <w:r w:rsidR="00C46A38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подрядным организациям</w:t>
      </w:r>
      <w:r w:rsidR="005226F3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произвести и строительные работы в селах Георгиевка, Малая Малышевка, Красносамарское, Новый Сарбай, Чубовка.</w:t>
      </w:r>
    </w:p>
    <w:p w:rsidR="009D1ED2" w:rsidRPr="00AF6131" w:rsidRDefault="009D1ED2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 сложные экономические условия и действие ограничительных мер, темпы ремонта не снижаются. </w:t>
      </w:r>
    </w:p>
    <w:p w:rsidR="003220E6" w:rsidRDefault="005226F3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проводимых руководством района мероприятий подтверждает удовлетворенность населения качеством автомобильных дорог, которая составила 83,4% от общего числа респондентов. </w:t>
      </w:r>
      <w:r w:rsidR="00322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показателю МР Кинельский занимает первое место в области среди муниципальных районов и второе среди всех муниципальных образований области. </w:t>
      </w:r>
    </w:p>
    <w:p w:rsidR="00E35DF8" w:rsidRDefault="005226F3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01.01.2023 г. доля автодорог местного значения, не отвечающих установленным норматив</w:t>
      </w:r>
      <w:r w:rsidR="003220E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требованиям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составила 2,2% от 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общей протяженности дорог - 845,8 км, из которых 333,0 км - с твердым покрытием.</w:t>
      </w:r>
    </w:p>
    <w:p w:rsidR="00AF6131" w:rsidRPr="00AF6131" w:rsidRDefault="00AF6131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8A6" w:rsidRPr="00AF6131" w:rsidRDefault="006608A6" w:rsidP="00AF613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Итогом реализации направления по </w:t>
      </w:r>
      <w:r w:rsidRPr="00AF6131">
        <w:rPr>
          <w:rFonts w:ascii="Times New Roman" w:hAnsi="Times New Roman" w:cs="Times New Roman"/>
          <w:b/>
          <w:sz w:val="26"/>
          <w:szCs w:val="26"/>
        </w:rPr>
        <w:t xml:space="preserve">увеличению объемов и темпов жилищного строительства </w:t>
      </w:r>
      <w:r w:rsidRPr="00AF6131">
        <w:rPr>
          <w:rFonts w:ascii="Times New Roman" w:hAnsi="Times New Roman" w:cs="Times New Roman"/>
          <w:sz w:val="26"/>
          <w:szCs w:val="26"/>
        </w:rPr>
        <w:t>ст</w:t>
      </w:r>
      <w:r w:rsidR="00B226E6" w:rsidRPr="00AF6131">
        <w:rPr>
          <w:rFonts w:ascii="Times New Roman" w:hAnsi="Times New Roman" w:cs="Times New Roman"/>
          <w:sz w:val="26"/>
          <w:szCs w:val="26"/>
        </w:rPr>
        <w:t>ало их рекордное увеличение</w:t>
      </w:r>
      <w:r w:rsidR="0047739B" w:rsidRPr="00AF6131">
        <w:rPr>
          <w:rFonts w:ascii="Times New Roman" w:hAnsi="Times New Roman" w:cs="Times New Roman"/>
          <w:sz w:val="26"/>
          <w:szCs w:val="26"/>
        </w:rPr>
        <w:t>.</w:t>
      </w:r>
    </w:p>
    <w:p w:rsidR="007F5487" w:rsidRPr="00AF6131" w:rsidRDefault="007F5487" w:rsidP="00AF6131">
      <w:pPr>
        <w:tabs>
          <w:tab w:val="left" w:pos="993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 xml:space="preserve">Жилищная проблема - одна из самых актуальных. 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За 2022 год за счет всех источников финансирования введено в эксплуатацию 40,582 тыс.кв. метров жилья, что на 25,9% выше уровня  прошлого года (32,2 тыс. кв.м). </w:t>
      </w:r>
    </w:p>
    <w:p w:rsidR="007F5487" w:rsidRPr="00AF6131" w:rsidRDefault="007F5487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>Муниципалитет активно участвует в федеральных и региональных программах. В зоне особого внимания - ветераны, дети-сироты, молодые семьи, многодетные семьи, молодые специалисты.</w:t>
      </w:r>
    </w:p>
    <w:p w:rsidR="002A7F4F" w:rsidRPr="00AF6131" w:rsidRDefault="002A7F4F" w:rsidP="00AF6131">
      <w:pPr>
        <w:tabs>
          <w:tab w:val="left" w:pos="0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5413,4 тыс. руб. (в том числе из средств федерального бюджета – 559,6 тыс.руб., областного бюджета – 2684,1 тыс.руб., местного бюджета – 2169,7 тыс.руб.) на приобретение и строительство жилья получили 6 семей. Площадь приобретенного ими жилья составляет 328,1 кв.м на общую сумму (с учетом собственных средств) 11173,6 тыс.руб. </w:t>
      </w:r>
      <w:r w:rsidRPr="00AF6131">
        <w:rPr>
          <w:rFonts w:ascii="Times New Roman" w:hAnsi="Times New Roman" w:cs="Times New Roman"/>
          <w:sz w:val="26"/>
          <w:szCs w:val="26"/>
        </w:rPr>
        <w:t xml:space="preserve">В подготовке и оформлении документов муниципалитет оказывает им любую профильную помощь, с тем, чтобы жилье ими было приобретено в установленный срок -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до ноября 2022 г.  </w:t>
      </w:r>
    </w:p>
    <w:p w:rsidR="002A7F4F" w:rsidRPr="00AF6131" w:rsidRDefault="002A7F4F" w:rsidP="00AF6131">
      <w:pPr>
        <w:tabs>
          <w:tab w:val="left" w:pos="0"/>
          <w:tab w:val="left" w:pos="993"/>
          <w:tab w:val="left" w:pos="1560"/>
        </w:tabs>
        <w:spacing w:after="0" w:line="288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AF6131">
        <w:rPr>
          <w:rFonts w:ascii="Times New Roman" w:eastAsia="Arial Unicode MS" w:hAnsi="Times New Roman" w:cs="Times New Roman"/>
          <w:bCs/>
          <w:sz w:val="26"/>
          <w:szCs w:val="26"/>
        </w:rPr>
        <w:t>В 2022 году</w:t>
      </w:r>
      <w:r w:rsidRPr="00AF6131">
        <w:rPr>
          <w:rFonts w:ascii="Times New Roman" w:hAnsi="Times New Roman" w:cs="Times New Roman"/>
          <w:sz w:val="26"/>
          <w:szCs w:val="26"/>
        </w:rPr>
        <w:t xml:space="preserve">  на  обеспечение жильем </w:t>
      </w:r>
      <w:r w:rsidRPr="00AF6131">
        <w:rPr>
          <w:rFonts w:ascii="Times New Roman" w:hAnsi="Times New Roman" w:cs="Times New Roman"/>
          <w:bCs/>
          <w:sz w:val="26"/>
          <w:szCs w:val="26"/>
        </w:rPr>
        <w:t>8-ти детей-сирот и детей, оставшихся без попечения родителей</w:t>
      </w:r>
      <w:r w:rsidRPr="00AF6131">
        <w:rPr>
          <w:rFonts w:ascii="Times New Roman" w:hAnsi="Times New Roman" w:cs="Times New Roman"/>
          <w:sz w:val="26"/>
          <w:szCs w:val="26"/>
        </w:rPr>
        <w:t xml:space="preserve"> выделены денежные средства в размере 9338,1 тыс.руб.</w:t>
      </w:r>
      <w:r w:rsidRPr="00AF6131">
        <w:rPr>
          <w:rFonts w:ascii="Times New Roman" w:hAnsi="Times New Roman" w:cs="Times New Roman"/>
          <w:bCs/>
          <w:sz w:val="26"/>
          <w:szCs w:val="26"/>
        </w:rPr>
        <w:t>, на которые приобретены 361,3 кв.м жилья.</w:t>
      </w:r>
    </w:p>
    <w:p w:rsidR="002A7F4F" w:rsidRPr="00AF6131" w:rsidRDefault="002A7F4F" w:rsidP="00AF6131">
      <w:pPr>
        <w:pStyle w:val="a3"/>
        <w:shd w:val="clear" w:color="auto" w:fill="FFFFFF"/>
        <w:tabs>
          <w:tab w:val="left" w:pos="1134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82" w:rsidRPr="00AF6131" w:rsidRDefault="00CC6282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B635FF" w:rsidRPr="00AF6131" w:rsidRDefault="00636CD9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2. Планируемые приоритетные направления развития муниципального района Кинельский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на 202</w:t>
      </w:r>
      <w:r w:rsidR="007F548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3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год</w:t>
      </w:r>
    </w:p>
    <w:p w:rsidR="00636CD9" w:rsidRPr="00AF6131" w:rsidRDefault="00636CD9" w:rsidP="00AF6131">
      <w:pPr>
        <w:spacing w:after="0" w:line="288" w:lineRule="auto"/>
        <w:ind w:firstLine="709"/>
        <w:jc w:val="center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C70DD" w:rsidRPr="00AF6131" w:rsidRDefault="001C70D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Высокая социально-экономическая значимость отдельных сфер деятельности определила приоритет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ные направления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развития муниципалитета в 2023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 обеспечивающие: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636CD9" w:rsidRPr="00AF6131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636CD9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стойчивое развитие агропромышленного </w:t>
      </w:r>
      <w:r w:rsidR="00B471B1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комплекса и сельских территорий.</w:t>
      </w:r>
    </w:p>
    <w:p w:rsidR="00A50DBE" w:rsidRPr="00AF6131" w:rsidRDefault="006C70D6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В рамках реализации данного направления и достижения показателей </w:t>
      </w:r>
      <w:r w:rsidR="005A2AB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ац. проекта предполагается с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оздание системы поддержки фермеров и развитие сельской кооперации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Дальнейшее обновление и совершенствование материально-технической базы </w:t>
      </w:r>
      <w:proofErr w:type="spellStart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 Продолжится проведение работы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по выявлению потенциальных экспортёров и 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реализация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мер по содействию их 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поддержке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. Также 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целях увеличения объемов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экспорта 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lastRenderedPageBreak/>
        <w:t>продукции АПК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будет совершенствоваться ст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руктура посевных площадей,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роводиться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работа по вводу в оборот неиспользуемых земель.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9C7AF6" w:rsidRPr="00AF6131" w:rsidRDefault="00826B3C" w:rsidP="00AF6131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>Постоянный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 контрол</w:t>
      </w:r>
      <w:r w:rsidRPr="00AF6131">
        <w:rPr>
          <w:rFonts w:ascii="Times New Roman" w:hAnsi="Times New Roman" w:cs="Times New Roman"/>
          <w:b/>
          <w:sz w:val="26"/>
          <w:szCs w:val="26"/>
        </w:rPr>
        <w:t>ь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 ситуации на рынке труда для предотвращения роста безработицы</w:t>
      </w:r>
      <w:r w:rsidR="00671E88" w:rsidRPr="00AF6131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AF6131">
        <w:rPr>
          <w:rFonts w:ascii="Times New Roman" w:hAnsi="Times New Roman" w:cs="Times New Roman"/>
          <w:b/>
          <w:sz w:val="26"/>
          <w:szCs w:val="26"/>
        </w:rPr>
        <w:t xml:space="preserve">снижения </w:t>
      </w:r>
      <w:r w:rsidR="00CC6282" w:rsidRPr="00AF6131">
        <w:rPr>
          <w:rFonts w:ascii="Times New Roman" w:hAnsi="Times New Roman" w:cs="Times New Roman"/>
          <w:b/>
          <w:sz w:val="26"/>
          <w:szCs w:val="26"/>
        </w:rPr>
        <w:t>социальной напряженности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C7AF6" w:rsidRPr="00AF6131">
        <w:rPr>
          <w:rFonts w:ascii="Times New Roman" w:hAnsi="Times New Roman" w:cs="Times New Roman"/>
          <w:sz w:val="26"/>
          <w:szCs w:val="26"/>
        </w:rPr>
        <w:t>результатом которого должны стать дальнейшее сокращение числа безработных граждан, оказание помощи и содействия в трудоустройстве лицам, оставшимся без работы.</w:t>
      </w:r>
    </w:p>
    <w:p w:rsidR="009C7AF6" w:rsidRPr="00AF6131" w:rsidRDefault="00826B3C" w:rsidP="00AF613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C7AF6"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родолжение работы по привлечению инвестиций в экономику муниципального района Кинельский </w:t>
      </w:r>
      <w:r w:rsidR="009C7AF6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повышения инвестиционной привлекательности территории,</w:t>
      </w:r>
      <w:r w:rsidR="009C7AF6"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7AF6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социальной инфраструктуры и создания выгодных условий для инвесторов.</w:t>
      </w:r>
    </w:p>
    <w:p w:rsidR="007926D0" w:rsidRPr="00AF6131" w:rsidRDefault="00334D61" w:rsidP="00AF613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7AA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стойчивое наращивание безопасных и качественных автомобильных дорог</w:t>
      </w:r>
      <w:r w:rsidR="007926D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(дорожная сеть, общесистемные меры развития дорожного хозяйства)</w:t>
      </w:r>
      <w:r w:rsidR="00B471B1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.</w:t>
      </w:r>
    </w:p>
    <w:p w:rsidR="00B471B1" w:rsidRPr="00AF6131" w:rsidRDefault="00A50DBE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рамках данного направления будет проводиться работа по восстановлению участков разрушенного дорожного полотна, по поддержанию дорог в удовлетворительном состоянии, а также работа по увеличению дорог местного значения с твердым покрытием.</w:t>
      </w:r>
    </w:p>
    <w:p w:rsidR="00DE1AFD" w:rsidRPr="00AF6131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7AA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величение объемов и темпов жилищного строительства. </w:t>
      </w:r>
      <w:r w:rsidR="00747AA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Работа по вводу жилья в муниципальном районе будет продолжаться и в 20</w:t>
      </w:r>
      <w:r w:rsidR="00A923DA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7F548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3</w:t>
      </w:r>
      <w:r w:rsidR="00747AA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году.</w:t>
      </w:r>
    </w:p>
    <w:p w:rsidR="00DE1AFD" w:rsidRPr="00AF6131" w:rsidRDefault="00DE1AF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Доклад о достигнутых значениях показателей для оценки эффективности деятельности органов местного самоуправления городских округов</w:t>
      </w:r>
      <w:r w:rsidR="00EE73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и муниципальных районов за 20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7F548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 и их планируемых значениях на 3-летний период размещен на официальном сайте администрации муниципального района Кинельский по адресу: </w:t>
      </w:r>
      <w:hyperlink r:id="rId7" w:history="1"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kinel</w:t>
        </w:r>
        <w:proofErr w:type="spellEnd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6C70D6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 и в системе ГАС «Управление».</w:t>
      </w:r>
    </w:p>
    <w:p w:rsidR="00DE1AFD" w:rsidRPr="00AF6131" w:rsidRDefault="00E74BC7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334D61" w:rsidRPr="00AF6131" w:rsidRDefault="00334D61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6"/>
      </w:tblGrid>
      <w:tr w:rsidR="009D1ED2" w:rsidRPr="00AF6131" w:rsidTr="009D1ED2">
        <w:tc>
          <w:tcPr>
            <w:tcW w:w="4361" w:type="dxa"/>
          </w:tcPr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района</w:t>
            </w:r>
          </w:p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Кинельский</w:t>
            </w:r>
          </w:p>
        </w:tc>
        <w:tc>
          <w:tcPr>
            <w:tcW w:w="1829" w:type="dxa"/>
          </w:tcPr>
          <w:p w:rsidR="009D1ED2" w:rsidRPr="00AF6131" w:rsidRDefault="009D1ED2" w:rsidP="00AF613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Ю.Н. Жидков</w:t>
            </w: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ED2" w:rsidRPr="00AF6131" w:rsidRDefault="009D1ED2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BC7" w:rsidRPr="00AF6131" w:rsidRDefault="00E74BC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5A2AB7" w:rsidRPr="00AF6131" w:rsidRDefault="005A2AB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5A2AB7" w:rsidRPr="00AF6131" w:rsidRDefault="005A2AB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F1468D" w:rsidRPr="00AF6131" w:rsidRDefault="00F1468D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AF698A" w:rsidRPr="00AF6131" w:rsidRDefault="00AF698A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AF698A" w:rsidRPr="00AF6131" w:rsidRDefault="00AF698A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7B2B88" w:rsidRPr="00AF6131" w:rsidRDefault="007B2B88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Поликашина (84663) 21485</w:t>
      </w:r>
      <w:bookmarkStart w:id="0" w:name="_GoBack"/>
      <w:bookmarkEnd w:id="0"/>
    </w:p>
    <w:sectPr w:rsidR="007B2B88" w:rsidRPr="00AF6131" w:rsidSect="00DE1AFD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C" w:rsidRDefault="00AA67CC" w:rsidP="00DE1AFD">
      <w:pPr>
        <w:spacing w:after="0" w:line="240" w:lineRule="auto"/>
      </w:pPr>
      <w:r>
        <w:separator/>
      </w:r>
    </w:p>
  </w:endnote>
  <w:endnote w:type="continuationSeparator" w:id="0">
    <w:p w:rsidR="00AA67CC" w:rsidRDefault="00AA67CC" w:rsidP="00DE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C" w:rsidRDefault="00AA67CC" w:rsidP="00DE1AFD">
      <w:pPr>
        <w:spacing w:after="0" w:line="240" w:lineRule="auto"/>
      </w:pPr>
      <w:r>
        <w:separator/>
      </w:r>
    </w:p>
  </w:footnote>
  <w:footnote w:type="continuationSeparator" w:id="0">
    <w:p w:rsidR="00AA67CC" w:rsidRDefault="00AA67CC" w:rsidP="00DE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122"/>
    <w:multiLevelType w:val="hybridMultilevel"/>
    <w:tmpl w:val="073E33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34397"/>
    <w:multiLevelType w:val="hybridMultilevel"/>
    <w:tmpl w:val="8160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BAB"/>
    <w:multiLevelType w:val="hybridMultilevel"/>
    <w:tmpl w:val="AD0C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057C0"/>
    <w:multiLevelType w:val="hybridMultilevel"/>
    <w:tmpl w:val="CD641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D5A45"/>
    <w:multiLevelType w:val="hybridMultilevel"/>
    <w:tmpl w:val="8C4A6B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2CD5263"/>
    <w:multiLevelType w:val="hybridMultilevel"/>
    <w:tmpl w:val="8788F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6CD7"/>
    <w:multiLevelType w:val="hybridMultilevel"/>
    <w:tmpl w:val="880C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722D1C"/>
    <w:multiLevelType w:val="hybridMultilevel"/>
    <w:tmpl w:val="A47C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B1827"/>
    <w:multiLevelType w:val="multilevel"/>
    <w:tmpl w:val="74C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83EDB"/>
    <w:multiLevelType w:val="hybridMultilevel"/>
    <w:tmpl w:val="9E34B082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50150240"/>
    <w:multiLevelType w:val="hybridMultilevel"/>
    <w:tmpl w:val="759097D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50C42BE8"/>
    <w:multiLevelType w:val="hybridMultilevel"/>
    <w:tmpl w:val="54EE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E41CE7"/>
    <w:multiLevelType w:val="hybridMultilevel"/>
    <w:tmpl w:val="8A38F5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A023E27"/>
    <w:multiLevelType w:val="hybridMultilevel"/>
    <w:tmpl w:val="4F8AFAF6"/>
    <w:lvl w:ilvl="0" w:tplc="5D027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CC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C6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6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AD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C9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2C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CB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60924"/>
    <w:multiLevelType w:val="hybridMultilevel"/>
    <w:tmpl w:val="23D8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635FF"/>
    <w:rsid w:val="0001593B"/>
    <w:rsid w:val="00053FDB"/>
    <w:rsid w:val="00095AC3"/>
    <w:rsid w:val="000F276F"/>
    <w:rsid w:val="00190CAA"/>
    <w:rsid w:val="001A21DE"/>
    <w:rsid w:val="001B6A23"/>
    <w:rsid w:val="001C09CC"/>
    <w:rsid w:val="001C70DD"/>
    <w:rsid w:val="001F3553"/>
    <w:rsid w:val="00290817"/>
    <w:rsid w:val="002A7F4F"/>
    <w:rsid w:val="002B4F55"/>
    <w:rsid w:val="003103C3"/>
    <w:rsid w:val="00314A84"/>
    <w:rsid w:val="003220E6"/>
    <w:rsid w:val="00334D61"/>
    <w:rsid w:val="003463AC"/>
    <w:rsid w:val="003A5316"/>
    <w:rsid w:val="003D2E0F"/>
    <w:rsid w:val="003F06AD"/>
    <w:rsid w:val="003F07EC"/>
    <w:rsid w:val="00432238"/>
    <w:rsid w:val="00435C32"/>
    <w:rsid w:val="00437C36"/>
    <w:rsid w:val="00445DDF"/>
    <w:rsid w:val="0047739B"/>
    <w:rsid w:val="004948EE"/>
    <w:rsid w:val="004D2B3F"/>
    <w:rsid w:val="00500D76"/>
    <w:rsid w:val="00512409"/>
    <w:rsid w:val="005226F3"/>
    <w:rsid w:val="00527BB6"/>
    <w:rsid w:val="00570023"/>
    <w:rsid w:val="0057638B"/>
    <w:rsid w:val="005A2AB7"/>
    <w:rsid w:val="005B4EB2"/>
    <w:rsid w:val="005B6135"/>
    <w:rsid w:val="005B7E2E"/>
    <w:rsid w:val="005C7BFF"/>
    <w:rsid w:val="0062217D"/>
    <w:rsid w:val="00636CD9"/>
    <w:rsid w:val="006370D4"/>
    <w:rsid w:val="00651907"/>
    <w:rsid w:val="006608A6"/>
    <w:rsid w:val="00671E88"/>
    <w:rsid w:val="00687CA3"/>
    <w:rsid w:val="006A0A32"/>
    <w:rsid w:val="006A73AF"/>
    <w:rsid w:val="006C12A2"/>
    <w:rsid w:val="006C70D6"/>
    <w:rsid w:val="007127AF"/>
    <w:rsid w:val="00725584"/>
    <w:rsid w:val="00740B30"/>
    <w:rsid w:val="00747AA7"/>
    <w:rsid w:val="00790496"/>
    <w:rsid w:val="007926D0"/>
    <w:rsid w:val="007B2B88"/>
    <w:rsid w:val="007F5487"/>
    <w:rsid w:val="00810598"/>
    <w:rsid w:val="008257C5"/>
    <w:rsid w:val="00826B3C"/>
    <w:rsid w:val="008C297A"/>
    <w:rsid w:val="008D6646"/>
    <w:rsid w:val="0096130C"/>
    <w:rsid w:val="00980F35"/>
    <w:rsid w:val="009C7AF6"/>
    <w:rsid w:val="009D0CF9"/>
    <w:rsid w:val="009D1ED2"/>
    <w:rsid w:val="009E4006"/>
    <w:rsid w:val="009F18A4"/>
    <w:rsid w:val="00A03BE5"/>
    <w:rsid w:val="00A405E1"/>
    <w:rsid w:val="00A40B7A"/>
    <w:rsid w:val="00A50DBE"/>
    <w:rsid w:val="00A704E3"/>
    <w:rsid w:val="00A77B45"/>
    <w:rsid w:val="00A923DA"/>
    <w:rsid w:val="00AA67CC"/>
    <w:rsid w:val="00AF1269"/>
    <w:rsid w:val="00AF6131"/>
    <w:rsid w:val="00AF698A"/>
    <w:rsid w:val="00B06399"/>
    <w:rsid w:val="00B226E6"/>
    <w:rsid w:val="00B23543"/>
    <w:rsid w:val="00B471B1"/>
    <w:rsid w:val="00B53411"/>
    <w:rsid w:val="00B635FF"/>
    <w:rsid w:val="00BB564E"/>
    <w:rsid w:val="00C0269A"/>
    <w:rsid w:val="00C456E7"/>
    <w:rsid w:val="00C46A38"/>
    <w:rsid w:val="00CA186A"/>
    <w:rsid w:val="00CB257E"/>
    <w:rsid w:val="00CC6282"/>
    <w:rsid w:val="00CF7611"/>
    <w:rsid w:val="00D16745"/>
    <w:rsid w:val="00D351B7"/>
    <w:rsid w:val="00D567DA"/>
    <w:rsid w:val="00D93DE6"/>
    <w:rsid w:val="00DB5085"/>
    <w:rsid w:val="00DC14B7"/>
    <w:rsid w:val="00DE1AFD"/>
    <w:rsid w:val="00E322FB"/>
    <w:rsid w:val="00E35DF8"/>
    <w:rsid w:val="00E42C94"/>
    <w:rsid w:val="00E433B7"/>
    <w:rsid w:val="00E541C7"/>
    <w:rsid w:val="00E66DAA"/>
    <w:rsid w:val="00E74BC7"/>
    <w:rsid w:val="00E91E7E"/>
    <w:rsid w:val="00EB642E"/>
    <w:rsid w:val="00EE443D"/>
    <w:rsid w:val="00EE73BE"/>
    <w:rsid w:val="00F07FC6"/>
    <w:rsid w:val="00F1468D"/>
    <w:rsid w:val="00F679C5"/>
    <w:rsid w:val="00F87A11"/>
    <w:rsid w:val="00FB2D58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paragraph" w:styleId="1">
    <w:name w:val="heading 1"/>
    <w:basedOn w:val="a"/>
    <w:next w:val="a"/>
    <w:link w:val="10"/>
    <w:uiPriority w:val="9"/>
    <w:qFormat/>
    <w:rsid w:val="00500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3A5316"/>
  </w:style>
  <w:style w:type="character" w:customStyle="1" w:styleId="20">
    <w:name w:val="Заголовок 2 Знак"/>
    <w:basedOn w:val="a0"/>
    <w:link w:val="2"/>
    <w:uiPriority w:val="9"/>
    <w:rsid w:val="0043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6370D4"/>
    <w:rPr>
      <w:b/>
      <w:bCs/>
    </w:rPr>
  </w:style>
  <w:style w:type="paragraph" w:customStyle="1" w:styleId="04220415041a04210422">
    <w:name w:val="04220415041a04210422"/>
    <w:basedOn w:val="a"/>
    <w:rsid w:val="00A9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C09C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C09CC"/>
  </w:style>
  <w:style w:type="table" w:styleId="af">
    <w:name w:val="Table Grid"/>
    <w:basedOn w:val="a1"/>
    <w:uiPriority w:val="59"/>
    <w:rsid w:val="009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D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03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3023">
                  <w:marLeft w:val="2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124">
                              <w:marLeft w:val="2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1368725937">
                              <w:marLeft w:val="262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2939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6882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8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07144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9288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879976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1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019449">
                              <w:marLeft w:val="0"/>
                              <w:marRight w:val="1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17</cp:revision>
  <cp:lastPrinted>2023-04-27T10:40:00Z</cp:lastPrinted>
  <dcterms:created xsi:type="dcterms:W3CDTF">2023-04-27T05:51:00Z</dcterms:created>
  <dcterms:modified xsi:type="dcterms:W3CDTF">2023-04-27T10:41:00Z</dcterms:modified>
</cp:coreProperties>
</file>