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05.06.2025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</w:rPr>
        <w:t xml:space="preserve">Самарский Росреестр о газификации в регионе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Самарской области продолжаются мероприятия по подключению к газораспределительным сет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ям домовладений, расположенных на землях СНТ в газифицированных населенных пунктах.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По поручению Президента РФ Владимира Путина по всей стране реализуется программа социальной газификации, которая позволяет бесплатно подводить газ к границам земельных участков граждан. 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Хотим обратить внимание на условия, обязательные для включения домовладения, расположенного в СНТ, в программу бесплатной догазификации: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3"/>
        </w:numPr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СНТ должно быть включено в границы населенного пункта (т.е. земельный участок относится к категории земель «земли населенных пунктов»);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3"/>
        </w:numPr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соответствующий населенный пункт должен быть газифицирован или программой газификации предусмотрено строительство газовых сетей до границ СНТ;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40"/>
        <w:numPr>
          <w:ilvl w:val="0"/>
          <w:numId w:val="3"/>
        </w:numPr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объект, подлежащий газификации, имеет назначение «жилой дом» (а не «садовый дом»), и права на него зарегистрированы в ЕГРН.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Если зарегистрированы права на садовый дом, то его можно перевести в жилой дом в соответствии с порядком, установленным постановлением Правительства РФ от 28.01.2006 г. №47. Основными причинами, по которым орга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нами местного самоуправления может быть отказано в таком переводе, являются размещение садового дома в нарушение градостроительного регламента соответствующего земельного участка, а также попадание земельного участка в границы зон затопления, подтопления.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Если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домовладение не оформлено, то необходимо обратиться с заявлением о государственном кадастровом учете и государственной регистрации права, представив технический план на домовладение, подготовленный кадастровым инженером, правоустанавлив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ающий документ на земельный участок (если права зарегистрированы в ЕГРН, представление такого документа не требуется), а также квитанции об оплате государственной пошлины (с 01.01.2025 размер госпошлины за указанные действия составляет 1000 рублей).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Также, органам управления СНТ необходимо провести общее собрание СНТ для принятия решений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по вопросам газификации СНТ. К таким вопросам относятся проведение работ по догазификации жилых домов в СНТ,  безвозмездное предоставление газораспределительной организации земельного участка общего назначения для строительства и (или) эксплуатации создав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аемой сети газораспределения, предоставление безвозмездного и беспрепятственного доступа в данной сети на период ее строительства и (или) эксплуатации, представление права на безвозмездное подключение к имеющимся сетям газораспределения, относящимся к имущ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еству общего пользования СНТ, а также предоставление согласия собственников земельных участков на установление охранных зон созданной газораспределительной сети и наложение на земельные участки предусмотренных законодательством ограничений (обременений).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 указа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нном собрании можно определить и единого представителя на подачу заявок на подключение от имени собственников жилых домов. Если такой представитель не будет определен, каждый собственник жилого дома будет самостоятельно обращаться в газораспределительную 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рганизацию с заявкой о заключении договора о техническом присоединении. К такой заявке должны быть приложены доверенность или иной иной документ (в случае если заявка о подключении подается представителем заявителя), ситуационный план (графическая схема,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составленная заявителем, на которой указаны расположение планируемого к подключению жилого дома и границы земельного участка), выписка из ЕГРН о праве собственности на жилой дом, выписка из ЕГРН о правах на земельный участок, протокол общего собрания СНТ.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ind w:firstLine="708"/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9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2025-06-05T07:04:57Z</dcterms:modified>
</cp:coreProperties>
</file>