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26" w:rsidRDefault="004A176D" w:rsidP="00320EEB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Инвестиционные возможности </w:t>
      </w:r>
    </w:p>
    <w:p w:rsidR="000B0526" w:rsidRDefault="000B0526" w:rsidP="00320EEB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предусмотренные </w:t>
      </w:r>
    </w:p>
    <w:p w:rsidR="000B0526" w:rsidRDefault="000B0526" w:rsidP="00320EEB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Стратегией социально-экономического развития района </w:t>
      </w:r>
    </w:p>
    <w:p w:rsidR="004A176D" w:rsidRDefault="000B0526" w:rsidP="00320EEB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до 2030 года</w:t>
      </w:r>
    </w:p>
    <w:p w:rsidR="000B0526" w:rsidRDefault="000B0526" w:rsidP="00320EEB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</w:p>
    <w:p w:rsidR="00320EEB" w:rsidRPr="004A176D" w:rsidRDefault="00320EEB" w:rsidP="00320EEB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r w:rsidRPr="007B128D">
        <w:rPr>
          <w:b/>
          <w:sz w:val="28"/>
          <w:szCs w:val="28"/>
        </w:rPr>
        <w:t>Показатели достижения стратегических целей по направлению «Экономика будущего»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1157"/>
        <w:gridCol w:w="996"/>
        <w:gridCol w:w="1093"/>
        <w:gridCol w:w="1256"/>
        <w:gridCol w:w="1332"/>
      </w:tblGrid>
      <w:tr w:rsidR="00320EEB" w:rsidRPr="007B128D" w:rsidTr="00653A6D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B" w:rsidRPr="007B128D" w:rsidRDefault="00320EEB" w:rsidP="00653A6D">
            <w:pPr>
              <w:contextualSpacing/>
              <w:jc w:val="center"/>
              <w:rPr>
                <w:sz w:val="24"/>
                <w:szCs w:val="24"/>
              </w:rPr>
            </w:pPr>
            <w:r w:rsidRPr="007B128D">
              <w:rPr>
                <w:sz w:val="24"/>
                <w:szCs w:val="24"/>
              </w:rPr>
              <w:t>Показатели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B" w:rsidRPr="007B128D" w:rsidRDefault="00320EEB" w:rsidP="00653A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B128D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B" w:rsidRPr="007B128D" w:rsidRDefault="00320EEB" w:rsidP="00653A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B128D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B" w:rsidRPr="007B128D" w:rsidRDefault="00320EEB" w:rsidP="00653A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B128D">
              <w:rPr>
                <w:b/>
                <w:sz w:val="24"/>
                <w:szCs w:val="24"/>
              </w:rPr>
              <w:t>2025 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B" w:rsidRPr="007B128D" w:rsidRDefault="00320EEB" w:rsidP="00653A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B128D">
              <w:rPr>
                <w:b/>
                <w:sz w:val="24"/>
                <w:szCs w:val="24"/>
              </w:rPr>
              <w:t>2030 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B" w:rsidRPr="007B128D" w:rsidRDefault="00320EEB" w:rsidP="00653A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B128D">
              <w:rPr>
                <w:b/>
                <w:sz w:val="24"/>
                <w:szCs w:val="24"/>
              </w:rPr>
              <w:t>%                       (2030 г. к 2017 г.)</w:t>
            </w:r>
          </w:p>
        </w:tc>
      </w:tr>
      <w:tr w:rsidR="00320EEB" w:rsidRPr="007B128D" w:rsidTr="00653A6D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B" w:rsidRPr="007B128D" w:rsidRDefault="00320EEB" w:rsidP="00653A6D">
            <w:pPr>
              <w:contextualSpacing/>
              <w:rPr>
                <w:sz w:val="24"/>
                <w:szCs w:val="24"/>
              </w:rPr>
            </w:pPr>
            <w:r w:rsidRPr="007B128D">
              <w:rPr>
                <w:sz w:val="24"/>
                <w:szCs w:val="24"/>
              </w:rPr>
              <w:t>Инвестиции в основной капитал за счет всех источников финансирования (млрд. руб.)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B" w:rsidRPr="007B128D" w:rsidRDefault="00320EEB" w:rsidP="00653A6D">
            <w:pPr>
              <w:contextualSpacing/>
              <w:jc w:val="center"/>
              <w:rPr>
                <w:sz w:val="24"/>
                <w:szCs w:val="24"/>
              </w:rPr>
            </w:pPr>
            <w:r w:rsidRPr="007B128D">
              <w:rPr>
                <w:sz w:val="24"/>
                <w:szCs w:val="24"/>
              </w:rPr>
              <w:t xml:space="preserve">3,5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B" w:rsidRPr="007B128D" w:rsidRDefault="00320EEB" w:rsidP="00653A6D">
            <w:pPr>
              <w:contextualSpacing/>
              <w:jc w:val="center"/>
              <w:rPr>
                <w:sz w:val="24"/>
                <w:szCs w:val="24"/>
              </w:rPr>
            </w:pPr>
            <w:r w:rsidRPr="007B128D">
              <w:rPr>
                <w:sz w:val="24"/>
                <w:szCs w:val="24"/>
              </w:rPr>
              <w:t>3,6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B" w:rsidRPr="007B128D" w:rsidRDefault="00320EEB" w:rsidP="00653A6D">
            <w:pPr>
              <w:contextualSpacing/>
              <w:jc w:val="center"/>
              <w:rPr>
                <w:sz w:val="24"/>
                <w:szCs w:val="24"/>
              </w:rPr>
            </w:pPr>
            <w:r w:rsidRPr="007B128D">
              <w:rPr>
                <w:sz w:val="24"/>
                <w:szCs w:val="24"/>
              </w:rPr>
              <w:t>4,1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B" w:rsidRPr="007B128D" w:rsidRDefault="00320EEB" w:rsidP="00653A6D">
            <w:pPr>
              <w:contextualSpacing/>
              <w:jc w:val="center"/>
              <w:rPr>
                <w:sz w:val="24"/>
                <w:szCs w:val="24"/>
              </w:rPr>
            </w:pPr>
            <w:r w:rsidRPr="007B128D">
              <w:rPr>
                <w:sz w:val="24"/>
                <w:szCs w:val="24"/>
              </w:rPr>
              <w:t xml:space="preserve">4,5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EB" w:rsidRPr="007B128D" w:rsidRDefault="00320EEB" w:rsidP="00653A6D">
            <w:pPr>
              <w:contextualSpacing/>
              <w:jc w:val="center"/>
              <w:rPr>
                <w:sz w:val="24"/>
                <w:szCs w:val="24"/>
              </w:rPr>
            </w:pPr>
            <w:r w:rsidRPr="007B128D">
              <w:rPr>
                <w:sz w:val="24"/>
                <w:szCs w:val="24"/>
              </w:rPr>
              <w:t>+28,6%</w:t>
            </w:r>
          </w:p>
        </w:tc>
      </w:tr>
    </w:tbl>
    <w:p w:rsidR="00E53E7B" w:rsidRDefault="00E53E7B"/>
    <w:p w:rsidR="00320EEB" w:rsidRDefault="00320EEB"/>
    <w:p w:rsidR="00653A6D" w:rsidRPr="0006784C" w:rsidRDefault="00653A6D" w:rsidP="00653A6D">
      <w:pPr>
        <w:spacing w:line="360" w:lineRule="auto"/>
        <w:ind w:firstLine="709"/>
        <w:jc w:val="both"/>
        <w:rPr>
          <w:sz w:val="28"/>
          <w:szCs w:val="28"/>
        </w:rPr>
      </w:pP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2030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определены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ключевые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задачи.</w:t>
      </w:r>
    </w:p>
    <w:p w:rsidR="004D3CCE" w:rsidRPr="004D3CCE" w:rsidRDefault="00653A6D" w:rsidP="004D3CCE">
      <w:pPr>
        <w:spacing w:line="360" w:lineRule="auto"/>
        <w:ind w:firstLine="709"/>
        <w:jc w:val="center"/>
        <w:rPr>
          <w:sz w:val="28"/>
          <w:szCs w:val="28"/>
        </w:rPr>
      </w:pPr>
      <w:r w:rsidRPr="004D3CCE">
        <w:rPr>
          <w:sz w:val="28"/>
          <w:szCs w:val="28"/>
        </w:rPr>
        <w:t>Развитие высокотехнологичного сельскохозяйственного и перерабатывающего производств</w:t>
      </w:r>
    </w:p>
    <w:p w:rsidR="00653A6D" w:rsidRPr="004D3CCE" w:rsidRDefault="00653A6D" w:rsidP="004D3CCE">
      <w:pPr>
        <w:pStyle w:val="a3"/>
        <w:numPr>
          <w:ilvl w:val="2"/>
          <w:numId w:val="35"/>
        </w:numPr>
        <w:tabs>
          <w:tab w:val="left" w:pos="993"/>
        </w:tabs>
        <w:ind w:left="0" w:firstLine="709"/>
        <w:rPr>
          <w:i/>
          <w:szCs w:val="28"/>
        </w:rPr>
      </w:pPr>
      <w:r w:rsidRPr="004D3CCE">
        <w:rPr>
          <w:i/>
          <w:szCs w:val="28"/>
        </w:rPr>
        <w:t>Повышение эффективности использования земельных ресурсов за счет внедрения наукоемких технологий сельскохозяйственного производства</w:t>
      </w:r>
    </w:p>
    <w:p w:rsidR="00653A6D" w:rsidRPr="0006784C" w:rsidRDefault="00653A6D" w:rsidP="00653A6D">
      <w:pPr>
        <w:spacing w:line="360" w:lineRule="auto"/>
        <w:ind w:firstLine="567"/>
        <w:jc w:val="both"/>
        <w:rPr>
          <w:sz w:val="28"/>
          <w:szCs w:val="28"/>
        </w:rPr>
      </w:pPr>
      <w:r w:rsidRPr="0006784C">
        <w:rPr>
          <w:sz w:val="28"/>
          <w:szCs w:val="28"/>
          <w:u w:val="single"/>
        </w:rPr>
        <w:t>Задачи:</w:t>
      </w:r>
    </w:p>
    <w:p w:rsidR="00653A6D" w:rsidRDefault="00653A6D" w:rsidP="00653A6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737DE9">
        <w:rPr>
          <w:color w:val="000000" w:themeColor="text1"/>
          <w:szCs w:val="28"/>
        </w:rPr>
        <w:t>повышение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инвестиционной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привлекательности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сельскохозяйственных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земель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для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крупных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инвесторов;</w:t>
      </w:r>
    </w:p>
    <w:p w:rsidR="004A176D" w:rsidRPr="004A176D" w:rsidRDefault="004A176D" w:rsidP="000B052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4A176D">
        <w:rPr>
          <w:color w:val="000000" w:themeColor="text1"/>
          <w:szCs w:val="28"/>
        </w:rPr>
        <w:t>формирование свободных участков под потенциальных инвесторов, вплоть до внесения изменений в Правила землепользования и застройки</w:t>
      </w:r>
      <w:r w:rsidR="004D3CCE">
        <w:rPr>
          <w:color w:val="000000" w:themeColor="text1"/>
          <w:szCs w:val="28"/>
        </w:rPr>
        <w:t>.</w:t>
      </w:r>
    </w:p>
    <w:p w:rsidR="00320EEB" w:rsidRDefault="00320EEB"/>
    <w:p w:rsidR="004A176D" w:rsidRPr="004D3CCE" w:rsidRDefault="004A176D" w:rsidP="004D3CCE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rPr>
          <w:i/>
          <w:strike/>
          <w:szCs w:val="28"/>
        </w:rPr>
      </w:pPr>
      <w:r w:rsidRPr="004D3CCE">
        <w:rPr>
          <w:i/>
          <w:szCs w:val="28"/>
        </w:rPr>
        <w:t xml:space="preserve">Развитие высокотехнологичного промышленного производства </w:t>
      </w:r>
    </w:p>
    <w:p w:rsidR="004A176D" w:rsidRPr="0006784C" w:rsidRDefault="004A176D" w:rsidP="004D3CCE">
      <w:pPr>
        <w:spacing w:line="360" w:lineRule="auto"/>
        <w:ind w:firstLine="567"/>
        <w:jc w:val="both"/>
        <w:rPr>
          <w:sz w:val="28"/>
          <w:szCs w:val="28"/>
        </w:rPr>
      </w:pPr>
      <w:r w:rsidRPr="0006784C">
        <w:rPr>
          <w:sz w:val="28"/>
          <w:szCs w:val="28"/>
          <w:u w:val="single"/>
        </w:rPr>
        <w:t>Задачи:</w:t>
      </w:r>
    </w:p>
    <w:p w:rsidR="004A176D" w:rsidRPr="00737DE9" w:rsidRDefault="004A176D" w:rsidP="004A176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737DE9">
        <w:rPr>
          <w:color w:val="000000" w:themeColor="text1"/>
          <w:szCs w:val="28"/>
        </w:rPr>
        <w:t>повышение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уровня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инвестиционной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привлекательности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района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для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размещения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инвестиций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промышленное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производство</w:t>
      </w:r>
      <w:r w:rsidR="004D3CCE">
        <w:rPr>
          <w:color w:val="000000" w:themeColor="text1"/>
          <w:szCs w:val="28"/>
        </w:rPr>
        <w:t>.</w:t>
      </w:r>
    </w:p>
    <w:p w:rsidR="004A176D" w:rsidRPr="00737DE9" w:rsidRDefault="004A176D" w:rsidP="000B0526">
      <w:pPr>
        <w:pStyle w:val="a3"/>
        <w:tabs>
          <w:tab w:val="left" w:pos="851"/>
        </w:tabs>
        <w:ind w:left="0"/>
        <w:rPr>
          <w:color w:val="000000" w:themeColor="text1"/>
          <w:szCs w:val="28"/>
        </w:rPr>
      </w:pPr>
      <w:r w:rsidRPr="00737DE9">
        <w:rPr>
          <w:color w:val="000000" w:themeColor="text1"/>
          <w:szCs w:val="28"/>
        </w:rPr>
        <w:t>Поставленные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цели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задачи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будут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достигнуты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за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счет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системы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мероприятий,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включающих:</w:t>
      </w:r>
    </w:p>
    <w:p w:rsidR="004A176D" w:rsidRDefault="004A176D" w:rsidP="004A176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737DE9">
        <w:rPr>
          <w:color w:val="000000" w:themeColor="text1"/>
          <w:szCs w:val="28"/>
        </w:rPr>
        <w:lastRenderedPageBreak/>
        <w:t>создание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благоприятных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условий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для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развития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малого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предпринимательства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привлечения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внешних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инвестиций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развитие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сферы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услуг;</w:t>
      </w:r>
    </w:p>
    <w:p w:rsidR="004A176D" w:rsidRPr="00737DE9" w:rsidRDefault="004A176D" w:rsidP="004A176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737DE9">
        <w:rPr>
          <w:color w:val="000000" w:themeColor="text1"/>
          <w:szCs w:val="28"/>
        </w:rPr>
        <w:t>подготовку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оборудование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инвестиционных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площадок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под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строительство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промышленных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предприятий;</w:t>
      </w:r>
    </w:p>
    <w:p w:rsidR="004A176D" w:rsidRPr="00737DE9" w:rsidRDefault="004A176D" w:rsidP="004A176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737DE9">
        <w:rPr>
          <w:color w:val="000000" w:themeColor="text1"/>
          <w:szCs w:val="28"/>
        </w:rPr>
        <w:t>продвижение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инвестиционных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площадок;</w:t>
      </w:r>
    </w:p>
    <w:p w:rsidR="004A176D" w:rsidRPr="00737DE9" w:rsidRDefault="004A176D" w:rsidP="004A176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737DE9">
        <w:rPr>
          <w:color w:val="000000" w:themeColor="text1"/>
          <w:szCs w:val="28"/>
        </w:rPr>
        <w:t>уточнение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постановку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на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кадастровый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учет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земельных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участков;</w:t>
      </w:r>
    </w:p>
    <w:p w:rsidR="004A176D" w:rsidRPr="00737DE9" w:rsidRDefault="004A176D" w:rsidP="004A176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737DE9">
        <w:rPr>
          <w:color w:val="000000" w:themeColor="text1"/>
          <w:szCs w:val="28"/>
        </w:rPr>
        <w:t>подготовку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продвижение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предложений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по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совершенствованию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нормативно-правовой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базы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процесса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предоставления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земельных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участков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под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инвестирование;</w:t>
      </w:r>
    </w:p>
    <w:p w:rsidR="004A176D" w:rsidRPr="00737DE9" w:rsidRDefault="004A176D" w:rsidP="000B052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737DE9">
        <w:rPr>
          <w:color w:val="000000" w:themeColor="text1"/>
          <w:szCs w:val="28"/>
        </w:rPr>
        <w:t>подготовку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продвижение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предложений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по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оптимизации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тарифов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лимитов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на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энергоресурсы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для</w:t>
      </w:r>
      <w:r>
        <w:rPr>
          <w:color w:val="000000" w:themeColor="text1"/>
          <w:szCs w:val="28"/>
        </w:rPr>
        <w:t xml:space="preserve"> </w:t>
      </w:r>
      <w:r w:rsidRPr="00737DE9">
        <w:rPr>
          <w:color w:val="000000" w:themeColor="text1"/>
          <w:szCs w:val="28"/>
        </w:rPr>
        <w:t>производителей.</w:t>
      </w:r>
    </w:p>
    <w:p w:rsidR="00320EEB" w:rsidRDefault="004A176D" w:rsidP="000B0526">
      <w:pPr>
        <w:spacing w:line="360" w:lineRule="auto"/>
        <w:ind w:firstLine="709"/>
        <w:jc w:val="both"/>
      </w:pPr>
      <w:r w:rsidRPr="0006784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задействованы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механизмы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активизации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застройки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производителей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строительству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жилья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промышленных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предприятий.</w:t>
      </w:r>
    </w:p>
    <w:p w:rsidR="00320EEB" w:rsidRDefault="00320EEB"/>
    <w:p w:rsidR="00320EEB" w:rsidRDefault="00320EEB"/>
    <w:p w:rsidR="000B0526" w:rsidRDefault="00653A6D" w:rsidP="000B052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519959526"/>
      <w:r w:rsidRPr="0006784C">
        <w:rPr>
          <w:rFonts w:ascii="Times New Roman" w:hAnsi="Times New Roman" w:cs="Times New Roman"/>
          <w:color w:val="000000" w:themeColor="text1"/>
        </w:rPr>
        <w:t>Производственный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color w:val="000000" w:themeColor="text1"/>
        </w:rPr>
        <w:t>сектор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color w:val="000000" w:themeColor="text1"/>
        </w:rPr>
        <w:t>экономики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color w:val="000000" w:themeColor="text1"/>
        </w:rPr>
        <w:t>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color w:val="000000" w:themeColor="text1"/>
        </w:rPr>
        <w:t>инвестиционная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color w:val="000000" w:themeColor="text1"/>
        </w:rPr>
        <w:t>активность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653A6D" w:rsidRDefault="00653A6D" w:rsidP="000B052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6784C">
        <w:rPr>
          <w:rFonts w:ascii="Times New Roman" w:hAnsi="Times New Roman" w:cs="Times New Roman"/>
          <w:color w:val="000000" w:themeColor="text1"/>
        </w:rPr>
        <w:t>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color w:val="000000" w:themeColor="text1"/>
        </w:rPr>
        <w:t>муниципальном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color w:val="000000" w:themeColor="text1"/>
        </w:rPr>
        <w:t>районе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color w:val="000000" w:themeColor="text1"/>
        </w:rPr>
        <w:t>Кинельский</w:t>
      </w:r>
      <w:bookmarkEnd w:id="1"/>
    </w:p>
    <w:p w:rsidR="00653A6D" w:rsidRDefault="00653A6D" w:rsidP="00653A6D">
      <w:pPr>
        <w:widowControl w:val="0"/>
        <w:suppressAutoHyphens/>
        <w:spacing w:line="360" w:lineRule="auto"/>
        <w:jc w:val="both"/>
      </w:pPr>
    </w:p>
    <w:p w:rsidR="000B0526" w:rsidRDefault="00653A6D" w:rsidP="00653A6D">
      <w:pPr>
        <w:widowControl w:val="0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Основой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экономического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роста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устойчивое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структурно-прогрессивное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развитие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хозяйствующих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субъектов,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выступающих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региональной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экономике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качестве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места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занятости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источника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товаров,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работ,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услуг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удовлетворения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потребностей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населения.</w:t>
      </w:r>
      <w:r>
        <w:rPr>
          <w:color w:val="000000" w:themeColor="text1"/>
          <w:sz w:val="28"/>
          <w:szCs w:val="28"/>
        </w:rPr>
        <w:t xml:space="preserve"> </w:t>
      </w:r>
    </w:p>
    <w:p w:rsidR="00653A6D" w:rsidRPr="0006784C" w:rsidRDefault="000B0526" w:rsidP="000B0526">
      <w:pPr>
        <w:widowControl w:val="0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653A6D" w:rsidRPr="0006784C">
        <w:rPr>
          <w:color w:val="000000" w:themeColor="text1"/>
          <w:sz w:val="28"/>
          <w:szCs w:val="28"/>
        </w:rPr>
        <w:t>аиболее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высокий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удельный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вес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в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количестве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организаций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стабильно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приходится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на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хозяйствующие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субъекты,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занимающиеся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сельским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хозяйством,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охотой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и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лесным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хозяйством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(за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последние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11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лет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средняя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доля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таких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организаций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составляет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22,37%),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а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также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организации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со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следующими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видами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экономической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деятельности: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оптовая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и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розничная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торговля;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ремонт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автотранспортных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средств,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мотоциклов,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бытовых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изделий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и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предметов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lastRenderedPageBreak/>
        <w:t>личного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пользования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(за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последние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11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лет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средняя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доля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таких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организаций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составляет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16,33),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обрабатывающие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производства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(за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последние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11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лет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средняя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доля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таких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организаций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составляет</w:t>
      </w:r>
      <w:r w:rsidR="00653A6D">
        <w:rPr>
          <w:color w:val="000000" w:themeColor="text1"/>
          <w:sz w:val="28"/>
          <w:szCs w:val="28"/>
        </w:rPr>
        <w:t xml:space="preserve"> </w:t>
      </w:r>
      <w:r w:rsidR="00653A6D" w:rsidRPr="0006784C">
        <w:rPr>
          <w:color w:val="000000" w:themeColor="text1"/>
          <w:sz w:val="28"/>
          <w:szCs w:val="28"/>
        </w:rPr>
        <w:t>12,98%).</w:t>
      </w:r>
    </w:p>
    <w:p w:rsidR="00653A6D" w:rsidRPr="0006784C" w:rsidRDefault="00653A6D" w:rsidP="00653A6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Сельскохозяйственные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организации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Кинельский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специализируются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зерновых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культур,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подсолнечника,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молока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мяса.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Основу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промышленного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комплекса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Кинельский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составляет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обрабатывающая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промышленность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(удельный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вес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общем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отгрузки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товаров,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работ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услуг,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произведенных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территории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87%).</w:t>
      </w:r>
      <w:r>
        <w:rPr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территории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Кинельский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успешно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работают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предприятий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пищевой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перерабатывающей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промышленности.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Крупнейшим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филиал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ОАО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ПВК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«Балтика»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«Балтика-Самара»,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который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лидером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пищевой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промышленности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только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Мощность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завода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6,5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млн</w:t>
      </w:r>
      <w:r>
        <w:rPr>
          <w:color w:val="000000" w:themeColor="text1"/>
          <w:sz w:val="28"/>
          <w:szCs w:val="28"/>
        </w:rPr>
        <w:t xml:space="preserve">. </w:t>
      </w:r>
      <w:r w:rsidRPr="0006784C">
        <w:rPr>
          <w:color w:val="000000" w:themeColor="text1"/>
          <w:sz w:val="28"/>
          <w:szCs w:val="28"/>
        </w:rPr>
        <w:t>гл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год.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филиал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«Балтика-Самара»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участвовал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конкурсе,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проводившемся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рамках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XIX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Поволжской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агропромышленной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выставки.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номинации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«Лучший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вид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пива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безалкогольного»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диплом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золотую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медаль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получил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бренд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«Балтика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0»,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который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филиал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компании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выпускает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марта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Уникальное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оборудование,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установленное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заводе,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позволяет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использовать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технологию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диализа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бережного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удаления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алкоголя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готового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пива,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позволяет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сохранить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вкус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аромат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пива.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Сейчас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завод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«Балтика-Самара»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выпускает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безалкогольных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сорта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«Балтика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0»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«Балтика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Нефильтрованное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Пшеничное».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менее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известна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постоянных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покупателей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жителей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«Георгиевского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хлебозавода»,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занесенная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«Сто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лучших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товаров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России».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45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видов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хлебобулочной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этого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предприятия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продается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300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магазинах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региона.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Производством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мукомольно-крупяной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занимается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«Самарские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мельницы»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одно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известных,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стабильно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работающих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lastRenderedPageBreak/>
        <w:t>предприятий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Компания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выпускает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свыше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32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пшеничной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год.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Значительную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долю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предприятия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составляет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сортовая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мука,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произведенная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урожая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разных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сельскохозяйственных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культур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(зерновые,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бобовые,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масличные).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Партия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помола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определенного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создается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микшированием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технологически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выверенных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пропорциях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зерна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твердых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мягких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сортов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основном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пшеницы),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природы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обладающих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разными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свойствами.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Премиальные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виды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хлебопекарной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высшего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сорта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традиционно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выполняются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полутвердых,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мягких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сортов.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Подобные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купажи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дают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тесто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высокой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06784C">
        <w:rPr>
          <w:color w:val="000000" w:themeColor="text1"/>
          <w:sz w:val="28"/>
          <w:szCs w:val="28"/>
        </w:rPr>
        <w:t>сахаро</w:t>
      </w:r>
      <w:proofErr w:type="spellEnd"/>
      <w:r w:rsidRPr="0006784C">
        <w:rPr>
          <w:color w:val="000000" w:themeColor="text1"/>
          <w:sz w:val="28"/>
          <w:szCs w:val="28"/>
        </w:rPr>
        <w:t>-газообразующей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06784C">
        <w:rPr>
          <w:color w:val="000000" w:themeColor="text1"/>
          <w:sz w:val="28"/>
          <w:szCs w:val="28"/>
        </w:rPr>
        <w:t>газоудерживающей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способностью,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прочным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клейковинным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каркасом.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макаронных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изделий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муку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делают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твердой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пшеницы,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так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как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тесто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должно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быть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максимально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упругим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пластичным.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Достойную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нишу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экономике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АПК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занимает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«Молочный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Мир»,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основными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слагаемыми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успеха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которого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расширение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площадей,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применение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современного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оборудования,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внедрение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передовых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технологий,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позволяющих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выпускать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высокого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качества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ежегодно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пополнять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ассортимент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только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вкусными,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очень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полезными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видами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молочных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изделий.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Результатом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успешной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работы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коллектива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стал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Диплом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Золотая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медаль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XIX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Поволжской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агропромышленной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выставки.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сегодняшний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день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ассортимент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продукции,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производимой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перерабатывающими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предприятиями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достаточно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широк: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переработки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молока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мороженого,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кондитерских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изделий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«Гранд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06784C">
        <w:rPr>
          <w:color w:val="000000" w:themeColor="text1"/>
          <w:sz w:val="28"/>
          <w:szCs w:val="28"/>
        </w:rPr>
        <w:t>Конди</w:t>
      </w:r>
      <w:proofErr w:type="spellEnd"/>
      <w:r w:rsidRPr="0006784C">
        <w:rPr>
          <w:color w:val="000000" w:themeColor="text1"/>
          <w:sz w:val="28"/>
          <w:szCs w:val="28"/>
        </w:rPr>
        <w:t>»),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безалкогольных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напитков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</w:t>
      </w:r>
      <w:proofErr w:type="spellStart"/>
      <w:r w:rsidRPr="0006784C">
        <w:rPr>
          <w:color w:val="000000" w:themeColor="text1"/>
          <w:sz w:val="28"/>
          <w:szCs w:val="28"/>
        </w:rPr>
        <w:t>Сколковские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напитки»,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«Георгиевские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напитки»).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Безалкогольная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«Георгиевские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напитки»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(вода,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квас,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лимонады)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достаточно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быстро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завоевала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популярность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покупателей.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отмечалась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высокими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наградами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Поволжской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агропромышленной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выставки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Всероссийской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выставки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«Золотая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осень».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lastRenderedPageBreak/>
        <w:t>Залог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успеха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достаточно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прост: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напитки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просто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вкусные,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они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производятся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«живой»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воды,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содержатся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только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натуральные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ингредиенты,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отсутствуют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химические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добавки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красители.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Как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видно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рис.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каждым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годом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сальдированный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финансовый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результат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(прибыль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минус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убыток)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всем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видам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деятельности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увеличивается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(кроме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2013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г.).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Особенно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большой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относительный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прирост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был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зафиксирован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2009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2012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же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время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сумма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убытка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убыточных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организаций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изменяется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волнообразно.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Наибольшая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сумма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убытка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была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когда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возрос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сравнению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2015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257,52%.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Подобная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динамика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говорит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том,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удельный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вес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эффективно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работающих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организаций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Кинельский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увеличивается,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получаемая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совокупная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прибыль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растет,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однако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убыточные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организации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также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наращивают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размеры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своего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убытка.</w:t>
      </w:r>
    </w:p>
    <w:p w:rsidR="00653A6D" w:rsidRPr="00043C4D" w:rsidRDefault="00653A6D" w:rsidP="00653A6D">
      <w:pPr>
        <w:spacing w:line="360" w:lineRule="auto"/>
        <w:ind w:firstLine="709"/>
        <w:jc w:val="both"/>
        <w:rPr>
          <w:color w:val="000000" w:themeColor="text1"/>
          <w:sz w:val="2"/>
          <w:szCs w:val="28"/>
        </w:rPr>
      </w:pPr>
    </w:p>
    <w:p w:rsidR="00653A6D" w:rsidRPr="0006784C" w:rsidRDefault="00653A6D" w:rsidP="00653A6D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06784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158597" cy="3709358"/>
            <wp:effectExtent l="19050" t="0" r="23003" b="5392"/>
            <wp:docPr id="4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3A6D" w:rsidRPr="00E1417C" w:rsidRDefault="00653A6D" w:rsidP="00653A6D">
      <w:pPr>
        <w:jc w:val="center"/>
        <w:rPr>
          <w:color w:val="000000" w:themeColor="text1"/>
          <w:sz w:val="24"/>
          <w:szCs w:val="28"/>
        </w:rPr>
      </w:pPr>
      <w:r w:rsidRPr="00E1417C">
        <w:rPr>
          <w:color w:val="000000" w:themeColor="text1"/>
          <w:sz w:val="24"/>
          <w:szCs w:val="28"/>
        </w:rPr>
        <w:t>Рисунок 1 – Динамика финансовых результатов деятельности организаций в муниципальном районе Кинельский за 2007– 2017 гг.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Резкий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рост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количества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убыточных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организаций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2009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2013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2015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связан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ухудшением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социально-экономической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ситуации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стране.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lastRenderedPageBreak/>
        <w:t>современных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условиях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хозяйствующие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субъекты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вынуждены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приспосабливаться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нормам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правилам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торговли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рамках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ВТО.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Положение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организаций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усугубляет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замедление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динамики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роста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региональной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национальной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экономик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целом,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сложная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геополитическая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ситуация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мире.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Все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негативно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сказывается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финансово-экономическом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положении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предприятий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района.</w:t>
      </w:r>
      <w:r>
        <w:rPr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Сравнение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динамики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промышленного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Кинельский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целом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показывает,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тренд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индекса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промышленного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многом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повторяет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областную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динамику,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2009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2013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2014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вовсе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превосходит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значения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региона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(рис.</w:t>
      </w:r>
      <w:r>
        <w:rPr>
          <w:color w:val="000000" w:themeColor="text1"/>
          <w:sz w:val="28"/>
          <w:szCs w:val="28"/>
        </w:rPr>
        <w:t xml:space="preserve"> </w:t>
      </w:r>
      <w:r w:rsidR="000B0526">
        <w:rPr>
          <w:color w:val="000000" w:themeColor="text1"/>
          <w:sz w:val="28"/>
          <w:szCs w:val="28"/>
        </w:rPr>
        <w:t>2</w:t>
      </w:r>
      <w:r w:rsidRPr="0006784C">
        <w:rPr>
          <w:color w:val="000000" w:themeColor="text1"/>
          <w:sz w:val="28"/>
          <w:szCs w:val="28"/>
        </w:rPr>
        <w:t>).</w:t>
      </w:r>
    </w:p>
    <w:p w:rsidR="00653A6D" w:rsidRPr="0006784C" w:rsidRDefault="00653A6D" w:rsidP="00653A6D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06784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55411" cy="3001993"/>
            <wp:effectExtent l="0" t="0" r="7620" b="8255"/>
            <wp:docPr id="2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3A6D" w:rsidRPr="00F1082C" w:rsidRDefault="000B0526" w:rsidP="00653A6D">
      <w:pPr>
        <w:jc w:val="center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Рисунок 2</w:t>
      </w:r>
      <w:r w:rsidR="00653A6D" w:rsidRPr="00F1082C">
        <w:rPr>
          <w:color w:val="000000" w:themeColor="text1"/>
          <w:sz w:val="24"/>
          <w:szCs w:val="28"/>
        </w:rPr>
        <w:t xml:space="preserve"> - Индексы промышленного производства в муниципальном районе Кинельский и Самарской области в период 2008-2017 гг., в % к предыдущему периоду</w:t>
      </w:r>
    </w:p>
    <w:p w:rsidR="00653A6D" w:rsidRPr="0006784C" w:rsidRDefault="00653A6D" w:rsidP="00653A6D">
      <w:pPr>
        <w:spacing w:line="360" w:lineRule="auto"/>
        <w:ind w:left="1701" w:hanging="1701"/>
        <w:rPr>
          <w:color w:val="000000" w:themeColor="text1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709"/>
        <w:gridCol w:w="616"/>
        <w:gridCol w:w="666"/>
        <w:gridCol w:w="702"/>
        <w:gridCol w:w="709"/>
        <w:gridCol w:w="709"/>
        <w:gridCol w:w="708"/>
        <w:gridCol w:w="616"/>
        <w:gridCol w:w="660"/>
        <w:gridCol w:w="709"/>
      </w:tblGrid>
      <w:tr w:rsidR="00653A6D" w:rsidRPr="0006784C" w:rsidTr="00653A6D">
        <w:trPr>
          <w:trHeight w:val="510"/>
        </w:trPr>
        <w:tc>
          <w:tcPr>
            <w:tcW w:w="9498" w:type="dxa"/>
            <w:gridSpan w:val="13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Индекс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784C">
              <w:rPr>
                <w:color w:val="000000"/>
                <w:sz w:val="24"/>
                <w:szCs w:val="24"/>
              </w:rPr>
              <w:t>промышленного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784C">
              <w:rPr>
                <w:color w:val="000000"/>
                <w:sz w:val="24"/>
                <w:szCs w:val="24"/>
              </w:rPr>
              <w:t>производства,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784C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784C">
              <w:rPr>
                <w:color w:val="000000"/>
                <w:sz w:val="24"/>
                <w:szCs w:val="24"/>
              </w:rPr>
              <w:t>процентах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784C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784C">
              <w:rPr>
                <w:color w:val="000000"/>
                <w:sz w:val="24"/>
                <w:szCs w:val="24"/>
              </w:rPr>
              <w:t>предыдущему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784C">
              <w:rPr>
                <w:color w:val="000000"/>
                <w:sz w:val="24"/>
                <w:szCs w:val="24"/>
              </w:rPr>
              <w:t>году</w:t>
            </w:r>
          </w:p>
        </w:tc>
      </w:tr>
      <w:tr w:rsidR="00653A6D" w:rsidRPr="0006784C" w:rsidTr="00653A6D">
        <w:trPr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6784C">
              <w:rPr>
                <w:b/>
                <w:bCs/>
                <w:color w:val="000000"/>
                <w:szCs w:val="18"/>
              </w:rPr>
              <w:t>2006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6784C">
              <w:rPr>
                <w:b/>
                <w:bCs/>
                <w:color w:val="000000"/>
                <w:szCs w:val="18"/>
              </w:rPr>
              <w:t>2007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6784C">
              <w:rPr>
                <w:b/>
                <w:bCs/>
                <w:color w:val="000000"/>
                <w:szCs w:val="18"/>
              </w:rPr>
              <w:t>2008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6784C">
              <w:rPr>
                <w:b/>
                <w:bCs/>
                <w:color w:val="000000"/>
                <w:szCs w:val="18"/>
              </w:rPr>
              <w:t>2009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6784C">
              <w:rPr>
                <w:b/>
                <w:bCs/>
                <w:color w:val="000000"/>
                <w:szCs w:val="18"/>
              </w:rPr>
              <w:t>2010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6784C">
              <w:rPr>
                <w:b/>
                <w:bCs/>
                <w:color w:val="000000"/>
                <w:szCs w:val="18"/>
              </w:rPr>
              <w:t>2011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6784C">
              <w:rPr>
                <w:b/>
                <w:bCs/>
                <w:color w:val="000000"/>
                <w:szCs w:val="18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6784C">
              <w:rPr>
                <w:b/>
                <w:bCs/>
                <w:color w:val="000000"/>
                <w:szCs w:val="18"/>
              </w:rPr>
              <w:t>2013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6784C">
              <w:rPr>
                <w:b/>
                <w:bCs/>
                <w:color w:val="000000"/>
                <w:szCs w:val="18"/>
              </w:rPr>
              <w:t>2014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6784C">
              <w:rPr>
                <w:b/>
                <w:bCs/>
                <w:color w:val="000000"/>
                <w:szCs w:val="18"/>
              </w:rPr>
              <w:t>2015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6784C">
              <w:rPr>
                <w:b/>
                <w:bCs/>
                <w:color w:val="000000"/>
                <w:szCs w:val="18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3A6D" w:rsidRPr="0006784C" w:rsidRDefault="00653A6D" w:rsidP="00653A6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6784C">
              <w:rPr>
                <w:b/>
                <w:bCs/>
                <w:color w:val="000000"/>
                <w:szCs w:val="18"/>
              </w:rPr>
              <w:t>2017</w:t>
            </w:r>
          </w:p>
        </w:tc>
      </w:tr>
      <w:tr w:rsidR="00653A6D" w:rsidRPr="0006784C" w:rsidTr="00653A6D">
        <w:trPr>
          <w:trHeight w:val="315"/>
        </w:trPr>
        <w:tc>
          <w:tcPr>
            <w:tcW w:w="1276" w:type="dxa"/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ind w:left="-108"/>
              <w:rPr>
                <w:color w:val="000000"/>
              </w:rPr>
            </w:pPr>
            <w:r w:rsidRPr="0006784C">
              <w:rPr>
                <w:color w:val="000000"/>
              </w:rPr>
              <w:t>Муниципальный</w:t>
            </w:r>
            <w:r>
              <w:rPr>
                <w:color w:val="000000"/>
              </w:rPr>
              <w:t xml:space="preserve"> </w:t>
            </w:r>
            <w:r w:rsidRPr="0006784C">
              <w:rPr>
                <w:color w:val="000000"/>
              </w:rPr>
              <w:t>район</w:t>
            </w:r>
            <w:r>
              <w:rPr>
                <w:color w:val="000000"/>
              </w:rPr>
              <w:t xml:space="preserve"> </w:t>
            </w:r>
            <w:r w:rsidRPr="0006784C">
              <w:rPr>
                <w:color w:val="000000"/>
              </w:rPr>
              <w:t>Кинельский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127,8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97,5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96,7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96,7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653A6D" w:rsidRPr="0006784C" w:rsidTr="00653A6D">
        <w:trPr>
          <w:trHeight w:val="31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ind w:left="-108"/>
              <w:rPr>
                <w:color w:val="000000"/>
              </w:rPr>
            </w:pPr>
            <w:r w:rsidRPr="0006784C">
              <w:rPr>
                <w:color w:val="000000"/>
              </w:rPr>
              <w:t>Самарская</w:t>
            </w:r>
            <w:r>
              <w:rPr>
                <w:color w:val="000000"/>
              </w:rPr>
              <w:t xml:space="preserve"> </w:t>
            </w:r>
            <w:r w:rsidRPr="0006784C">
              <w:rPr>
                <w:color w:val="000000"/>
              </w:rPr>
              <w:t>область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616" w:type="dxa"/>
            <w:shd w:val="clear" w:color="auto" w:fill="FFFFFF" w:themeFill="background1"/>
            <w:noWrap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80,7</w:t>
            </w:r>
          </w:p>
        </w:tc>
        <w:tc>
          <w:tcPr>
            <w:tcW w:w="666" w:type="dxa"/>
            <w:shd w:val="clear" w:color="auto" w:fill="FFFFFF" w:themeFill="background1"/>
            <w:noWrap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702" w:type="dxa"/>
            <w:shd w:val="clear" w:color="auto" w:fill="FFFFFF" w:themeFill="background1"/>
            <w:noWrap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616" w:type="dxa"/>
            <w:shd w:val="clear" w:color="auto" w:fill="FFFFFF" w:themeFill="background1"/>
            <w:noWrap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3A6D" w:rsidRPr="0006784C" w:rsidRDefault="00653A6D" w:rsidP="00653A6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101,6</w:t>
            </w:r>
          </w:p>
        </w:tc>
      </w:tr>
    </w:tbl>
    <w:p w:rsidR="000B0526" w:rsidRDefault="000B0526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Сравнение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отгруженных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товаров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собственного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душу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населения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индекса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промышленного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lastRenderedPageBreak/>
        <w:t>муниципальным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позволяет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заключить,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первому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показателю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Кинельский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находится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лидерах,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второму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отстающих</w:t>
      </w:r>
      <w:r w:rsidR="000B0526">
        <w:rPr>
          <w:color w:val="000000" w:themeColor="text1"/>
          <w:sz w:val="28"/>
          <w:szCs w:val="28"/>
        </w:rPr>
        <w:t>.</w:t>
      </w:r>
    </w:p>
    <w:p w:rsidR="000B0526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Наиболее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высокие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темпы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роста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отгруженных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товаров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собственного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выполненных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работ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услуг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собственными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силами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характерны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распределения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электроэнергии,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газа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воды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среднем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121,01%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2007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гг.),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обрабатывающих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среднем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112,86%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2007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гг.),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последние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которых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традиционно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формируют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промышленного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комплекса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Кинельский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Так,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долю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обрабатывающих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приходится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89,75%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2014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78,76%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всех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отгруженных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товаров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собственного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выполненных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работ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услуг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собственными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силами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Кинельский.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отрасли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«Производство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распределение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электроэнергии,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газа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воды»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итогам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впервые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последние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шесть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лет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зафиксирован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отрицательный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результат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индекс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отгрузки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составил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45,68%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увеличении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17,74%в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2016г.</w:t>
      </w:r>
      <w:r>
        <w:rPr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06784C">
        <w:rPr>
          <w:bCs/>
          <w:iCs/>
          <w:color w:val="000000" w:themeColor="text1"/>
          <w:sz w:val="28"/>
          <w:szCs w:val="28"/>
        </w:rPr>
        <w:t>За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последние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три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года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в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отрасли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«Добыча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полезных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ископаемых»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существенный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отгрузки,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вызвано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высокими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темпами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производства.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2016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г.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темп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роста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добычи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нефти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и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газа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в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муниципальном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районе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Кинельский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в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сопоставимых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ценах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составил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176,7%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(2648,6</w:t>
      </w:r>
      <w:r>
        <w:rPr>
          <w:bCs/>
          <w:iCs/>
          <w:color w:val="000000" w:themeColor="text1"/>
          <w:sz w:val="28"/>
          <w:szCs w:val="28"/>
        </w:rPr>
        <w:t xml:space="preserve"> млн. руб. </w:t>
      </w:r>
      <w:r w:rsidRPr="0006784C">
        <w:rPr>
          <w:bCs/>
          <w:iCs/>
          <w:color w:val="000000" w:themeColor="text1"/>
          <w:sz w:val="28"/>
          <w:szCs w:val="28"/>
        </w:rPr>
        <w:t>в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2016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г.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против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1554,5</w:t>
      </w:r>
      <w:r>
        <w:rPr>
          <w:bCs/>
          <w:iCs/>
          <w:color w:val="000000" w:themeColor="text1"/>
          <w:sz w:val="28"/>
          <w:szCs w:val="28"/>
        </w:rPr>
        <w:t xml:space="preserve"> млн. руб. </w:t>
      </w:r>
      <w:r w:rsidRPr="0006784C">
        <w:rPr>
          <w:bCs/>
          <w:iCs/>
          <w:color w:val="000000" w:themeColor="text1"/>
          <w:sz w:val="28"/>
          <w:szCs w:val="28"/>
        </w:rPr>
        <w:t>в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2015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г.).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В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натуральном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выражении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с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начала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года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в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районе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добыто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179,6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тыс.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тонн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нефти,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включая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газовый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конденсат,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или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163,6%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к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уровню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2015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г.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В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2017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г.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темп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роста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добычи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нефти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и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газа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в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муниципальном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районе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Кинельский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в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сопоставимых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ценах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составил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107,0%.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bCs/>
          <w:iCs/>
          <w:color w:val="000000" w:themeColor="text1"/>
          <w:sz w:val="28"/>
          <w:szCs w:val="28"/>
        </w:rPr>
        <w:t>С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июня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2016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года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АО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«</w:t>
      </w:r>
      <w:proofErr w:type="spellStart"/>
      <w:r w:rsidRPr="0006784C">
        <w:rPr>
          <w:bCs/>
          <w:iCs/>
          <w:color w:val="000000" w:themeColor="text1"/>
          <w:sz w:val="28"/>
          <w:szCs w:val="28"/>
        </w:rPr>
        <w:t>Самаранефтегаз</w:t>
      </w:r>
      <w:proofErr w:type="spellEnd"/>
      <w:r w:rsidRPr="0006784C">
        <w:rPr>
          <w:bCs/>
          <w:iCs/>
          <w:color w:val="000000" w:themeColor="text1"/>
          <w:sz w:val="28"/>
          <w:szCs w:val="28"/>
        </w:rPr>
        <w:t>»,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дочернее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общество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ОАО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«НК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«Роснефть»,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после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победы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на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аукционных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торгах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bCs/>
          <w:iCs/>
          <w:color w:val="000000" w:themeColor="text1"/>
          <w:sz w:val="28"/>
          <w:szCs w:val="28"/>
        </w:rPr>
        <w:t>проводит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геологическое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изучение,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разведку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добычу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углеводородного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сырья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Ключевском,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06784C">
        <w:rPr>
          <w:color w:val="000000" w:themeColor="text1"/>
          <w:sz w:val="28"/>
          <w:szCs w:val="28"/>
        </w:rPr>
        <w:t>Максимовском</w:t>
      </w:r>
      <w:proofErr w:type="spellEnd"/>
      <w:r w:rsidRPr="0006784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Ново-</w:t>
      </w:r>
      <w:proofErr w:type="spellStart"/>
      <w:r w:rsidRPr="0006784C">
        <w:rPr>
          <w:color w:val="000000" w:themeColor="text1"/>
          <w:sz w:val="28"/>
          <w:szCs w:val="28"/>
        </w:rPr>
        <w:t>Крутяковском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Южно-</w:t>
      </w:r>
      <w:proofErr w:type="spellStart"/>
      <w:r w:rsidRPr="0006784C">
        <w:rPr>
          <w:color w:val="000000" w:themeColor="text1"/>
          <w:sz w:val="28"/>
          <w:szCs w:val="28"/>
        </w:rPr>
        <w:t>Бутковском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участках.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lastRenderedPageBreak/>
        <w:t>позволило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компании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только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расширить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ресурсную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базу,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главное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обеспечить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устойчивые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добычи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нефти,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числе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среднесрочной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перспективе.</w:t>
      </w:r>
      <w:r>
        <w:rPr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Отрицательная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динамика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последних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прослеживается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отрасли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«Обрабатывающие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производства».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Так,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темп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роста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отгрузки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составил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80,86%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снижении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отгруженных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товаров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собственного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выполненных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работ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услуг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собственными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силами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11,7%.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обрабатывающих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отраслях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наблюдается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рост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готовых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металлических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изделий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(индекс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январь-декабрь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составил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105,1%)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снижение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пищевых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продуктов,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включая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напитки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табак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(89,6%),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электрооборудования,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электронно-оптического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оборудования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(90,0%).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Филиал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ОАО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ПВК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«Балтика»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«Балтика-Самара»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крупнейшая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компания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районе,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которая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вносит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весомый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вклад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экономику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обеспечивая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стабильные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налоговые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поступления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являясь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одним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крупнейших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работодателей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региона.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Между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Правительством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пивоваренной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компанией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«Балтика»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действует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соглашение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социально-экономическом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партнерстве.</w:t>
      </w:r>
      <w:r>
        <w:rPr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Один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ключевых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вопросов,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стоящих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перед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отраслью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сегодняшний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день,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ограничение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пластиковой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тары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пива.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Соответствующее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решение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было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принято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Правительством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РФ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непростых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экономических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условиях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влияние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только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данного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фактора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приводит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падению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заводе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«Балтика-Самара»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более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8%.</w:t>
      </w:r>
      <w:r>
        <w:rPr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Вместе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существуют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другие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причины,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приводящие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сокращению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пива.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Основные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них: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рост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акцизов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почти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последние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лет;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введение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закона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«комендантском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часе»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алкоголя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(причем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если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первоначально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касался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только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напитков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крепостью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более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5%,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теперь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действие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распространилось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все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алкогольные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напитки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без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исключения);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lastRenderedPageBreak/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ужесточение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требований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торговым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помещениям;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введение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ЕГАИС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пива;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снижение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потребительской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способности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населения.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Самарская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один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немногих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регионов,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где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началось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внедрение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раздельного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регулирования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крепкого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слабого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алкоголя,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полностью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отвечает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концепции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государственной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политики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снижению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масштабов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злоупотребления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алкоголем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населения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РФ.</w:t>
      </w:r>
      <w:r>
        <w:rPr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филиале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«Балтика-Самара»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выпуск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натуральном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выражении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месяцев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снизился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сравнению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15,1%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составил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30993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дал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же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период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36523,0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дал).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Выручка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реализации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составила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8988,1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млн</w:t>
      </w:r>
      <w:r>
        <w:rPr>
          <w:color w:val="000000" w:themeColor="text1"/>
          <w:sz w:val="28"/>
          <w:szCs w:val="28"/>
        </w:rPr>
        <w:t xml:space="preserve">. </w:t>
      </w:r>
      <w:r w:rsidRPr="0006784C">
        <w:rPr>
          <w:color w:val="000000" w:themeColor="text1"/>
          <w:sz w:val="28"/>
          <w:szCs w:val="28"/>
        </w:rPr>
        <w:t>руб.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81,0%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действующих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ценах)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уровню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соответствующего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периода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(11093,3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млн</w:t>
      </w:r>
      <w:r>
        <w:rPr>
          <w:color w:val="000000" w:themeColor="text1"/>
          <w:sz w:val="28"/>
          <w:szCs w:val="28"/>
        </w:rPr>
        <w:t xml:space="preserve">. </w:t>
      </w:r>
      <w:r w:rsidRPr="0006784C">
        <w:rPr>
          <w:color w:val="000000" w:themeColor="text1"/>
          <w:sz w:val="28"/>
          <w:szCs w:val="28"/>
        </w:rPr>
        <w:t>руб.).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весь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выпуск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снизился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сравнению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17,6%,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что,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конечно,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привело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падению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выручки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15,4%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уровню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предыдущего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года.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Объем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отгрузки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мукомольно-крупяной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стоимостном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выражении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«Самарские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мельницы»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сократился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сравнению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20,9%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сопоставимых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ценах)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счет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роста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цен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сырье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готовую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продукцию.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Являясь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крупнейшим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производителем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06784C">
        <w:rPr>
          <w:color w:val="000000" w:themeColor="text1"/>
          <w:sz w:val="28"/>
          <w:szCs w:val="28"/>
        </w:rPr>
        <w:t>токопровода</w:t>
      </w:r>
      <w:proofErr w:type="spellEnd"/>
      <w:r w:rsidRPr="0006784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металлоконструкций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строительной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продукции,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«Электрощит»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снижением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потребительского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спроса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свою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вынужден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был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свернуть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территории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Так,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июня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отсутствием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финансирования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атомной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энергетики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бюджета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программы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модернизации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полностью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прекращено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отгрузка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устройств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коммутации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защиты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электрических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цепей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напряжение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более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кВт.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результате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этого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электрического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оборудования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составило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38,2%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сопоставимых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ценах)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х</w:t>
      </w:r>
      <w:r w:rsidRPr="0006784C">
        <w:rPr>
          <w:color w:val="000000" w:themeColor="text1"/>
          <w:sz w:val="28"/>
          <w:szCs w:val="28"/>
        </w:rPr>
        <w:t>арактерно,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ухудшение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ситуации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предприятии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произошло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фоне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изменения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структуры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сбыта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компании.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Сейчас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ее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реализуется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через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lastRenderedPageBreak/>
        <w:t>посредников,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через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сеть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торговых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представительств.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Крупнейшими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дистрибьюторами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являются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московские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«Пусковой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Элемент»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«ТД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УТЭК»,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также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новокузнецкое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«ЭТС».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Кроме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того,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пул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посредников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последнее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время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вошел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ряд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компаний,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ранее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работавших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рынке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электротехнического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оборудования.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числу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можно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отнести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самарскую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группу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«Полесье»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(стала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партнером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завода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г.),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санкт-петербургское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</w:t>
      </w:r>
      <w:proofErr w:type="spellStart"/>
      <w:r w:rsidRPr="0006784C">
        <w:rPr>
          <w:color w:val="000000" w:themeColor="text1"/>
          <w:sz w:val="28"/>
          <w:szCs w:val="28"/>
        </w:rPr>
        <w:t>Балтэнергокомплект</w:t>
      </w:r>
      <w:proofErr w:type="spellEnd"/>
      <w:r w:rsidRPr="0006784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г.)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иркутское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</w:t>
      </w:r>
      <w:proofErr w:type="spellStart"/>
      <w:r w:rsidRPr="0006784C">
        <w:rPr>
          <w:color w:val="000000" w:themeColor="text1"/>
          <w:sz w:val="28"/>
          <w:szCs w:val="28"/>
        </w:rPr>
        <w:t>Транссибэнерго</w:t>
      </w:r>
      <w:proofErr w:type="spellEnd"/>
      <w:r w:rsidRPr="0006784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г.).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феврале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2018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</w:t>
      </w:r>
      <w:proofErr w:type="spellStart"/>
      <w:r w:rsidRPr="0006784C">
        <w:rPr>
          <w:color w:val="000000" w:themeColor="text1"/>
          <w:sz w:val="28"/>
          <w:szCs w:val="28"/>
        </w:rPr>
        <w:t>Целер</w:t>
      </w:r>
      <w:proofErr w:type="spellEnd"/>
      <w:r w:rsidRPr="0006784C">
        <w:rPr>
          <w:color w:val="000000" w:themeColor="text1"/>
          <w:sz w:val="28"/>
          <w:szCs w:val="28"/>
        </w:rPr>
        <w:t>»,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специализирующемуся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деталей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трубопроводов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полимерным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антикоррозийным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покрытием,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исполнилось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19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лет.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принятым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Правительством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РФ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решением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сокращении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добычи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нефти,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сложной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экономической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ситуацией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стране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сокращением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количества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заключаемых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контрактов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отгрузку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руководством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компании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взят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курс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сокращение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итогам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отгруженной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составил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87,4%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уровня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счет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сокращения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количества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заключаемых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контрактов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отгрузку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продукции.</w:t>
      </w:r>
      <w:r>
        <w:rPr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Важное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место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экономике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муниципального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Кинельский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праву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занимает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агропромышленный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комплекс,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который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сегодня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объединяет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42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сельскохозяйственных</w:t>
      </w:r>
      <w:r w:rsidR="000B0526"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организации,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3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из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которых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вошли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его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68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крестьянских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(фермерских)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хозяйств,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перерабатывающих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предприятий,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9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предприятий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потребкооперации,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из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потребительских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обществ,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кредитных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кооператива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потребительских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обслуживающих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кооператива,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12371личное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подсобное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хозяйство.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сельскохозяйственном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обороте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находится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93,4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пашни.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Одним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из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залогов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успеха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отрасли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хозяйства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является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серьезная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научная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база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организаций,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работающих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территории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включающая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себя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ФГБНУ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Поволжский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научно-исследовательский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институт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селекции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семеноводства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имени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П.Н.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Константинова,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ФГБОУ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lastRenderedPageBreak/>
        <w:t>«Самарская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государственная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сельскохозяйственная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академия»,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ФГБУ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«Поволжская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государственная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зональная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машиноиспытательная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станция».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Агропромышленный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комплекс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сегодня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только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эффективная,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динамичная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отрасль,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одна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из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самых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перспективных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сфер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экономики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района.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spacing w:val="2"/>
          <w:sz w:val="28"/>
          <w:szCs w:val="28"/>
        </w:rPr>
      </w:pPr>
      <w:r w:rsidRPr="0006784C">
        <w:rPr>
          <w:bCs/>
          <w:spacing w:val="2"/>
          <w:sz w:val="28"/>
          <w:szCs w:val="28"/>
        </w:rPr>
        <w:t>В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структуре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производителей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сельскохозяйственного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производства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в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муниципальном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районе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Кинельский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за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2008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–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2017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гг.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наблюдаются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существенные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изменения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(рис.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1.7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а,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б).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Так,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если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в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2008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г.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70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%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всего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объема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производства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продукции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сельского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хозяйства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приходилось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на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хозяйства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населения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и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27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%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на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сельскохозяйственные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организации,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то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в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2017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г.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ситуация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иная: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44%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всего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объема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производства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продукции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сельского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хозяйства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приходится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на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хозяйства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населения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и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44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%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-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на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сельскохозяйственные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организации.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При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этом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существенно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с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3%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до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12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%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увеличилась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доля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фермерских</w:t>
      </w:r>
      <w:r>
        <w:rPr>
          <w:bCs/>
          <w:spacing w:val="2"/>
          <w:sz w:val="28"/>
          <w:szCs w:val="28"/>
        </w:rPr>
        <w:t xml:space="preserve"> </w:t>
      </w:r>
      <w:r w:rsidRPr="0006784C">
        <w:rPr>
          <w:bCs/>
          <w:spacing w:val="2"/>
          <w:sz w:val="28"/>
          <w:szCs w:val="28"/>
        </w:rPr>
        <w:t>хозяйств.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FF0000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4"/>
        <w:gridCol w:w="4537"/>
      </w:tblGrid>
      <w:tr w:rsidR="00653A6D" w:rsidRPr="0006784C" w:rsidTr="00653A6D">
        <w:tc>
          <w:tcPr>
            <w:tcW w:w="4718" w:type="dxa"/>
            <w:shd w:val="clear" w:color="auto" w:fill="auto"/>
          </w:tcPr>
          <w:p w:rsidR="00653A6D" w:rsidRPr="0006784C" w:rsidRDefault="00653A6D" w:rsidP="00653A6D">
            <w:pPr>
              <w:spacing w:line="360" w:lineRule="auto"/>
              <w:rPr>
                <w:bCs/>
                <w:color w:val="000000"/>
                <w:spacing w:val="2"/>
                <w:sz w:val="28"/>
                <w:szCs w:val="28"/>
              </w:rPr>
            </w:pPr>
            <w:r w:rsidRPr="0006784C">
              <w:rPr>
                <w:bCs/>
                <w:noProof/>
                <w:color w:val="000000"/>
                <w:spacing w:val="2"/>
                <w:sz w:val="28"/>
                <w:szCs w:val="28"/>
              </w:rPr>
              <w:drawing>
                <wp:inline distT="0" distB="0" distL="0" distR="0">
                  <wp:extent cx="3114675" cy="3057526"/>
                  <wp:effectExtent l="19050" t="0" r="9525" b="9524"/>
                  <wp:docPr id="3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852" w:type="dxa"/>
            <w:shd w:val="clear" w:color="auto" w:fill="auto"/>
          </w:tcPr>
          <w:p w:rsidR="00653A6D" w:rsidRPr="0006784C" w:rsidRDefault="00653A6D" w:rsidP="00653A6D">
            <w:pPr>
              <w:spacing w:line="360" w:lineRule="auto"/>
              <w:rPr>
                <w:bCs/>
                <w:color w:val="000000"/>
                <w:spacing w:val="2"/>
                <w:sz w:val="28"/>
                <w:szCs w:val="28"/>
              </w:rPr>
            </w:pPr>
            <w:r w:rsidRPr="0006784C">
              <w:rPr>
                <w:bCs/>
                <w:noProof/>
                <w:color w:val="000000"/>
                <w:spacing w:val="2"/>
                <w:sz w:val="28"/>
                <w:szCs w:val="28"/>
              </w:rPr>
              <w:drawing>
                <wp:inline distT="0" distB="0" distL="0" distR="0">
                  <wp:extent cx="2781300" cy="3058160"/>
                  <wp:effectExtent l="19050" t="0" r="19050" b="8890"/>
                  <wp:docPr id="41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653A6D" w:rsidRPr="00F1082C" w:rsidRDefault="00653A6D" w:rsidP="00653A6D">
      <w:pPr>
        <w:jc w:val="center"/>
        <w:rPr>
          <w:color w:val="000000" w:themeColor="text1"/>
          <w:sz w:val="24"/>
          <w:szCs w:val="28"/>
        </w:rPr>
      </w:pPr>
      <w:r w:rsidRPr="00F1082C">
        <w:rPr>
          <w:color w:val="000000" w:themeColor="text1"/>
          <w:sz w:val="24"/>
          <w:szCs w:val="28"/>
        </w:rPr>
        <w:t>Рисунок 1.7а – Доля производства продукции сельского хозяйства по отдельным категориям хозяйств (%)</w:t>
      </w:r>
    </w:p>
    <w:p w:rsidR="00653A6D" w:rsidRPr="0006784C" w:rsidRDefault="00653A6D" w:rsidP="00653A6D">
      <w:pPr>
        <w:spacing w:line="360" w:lineRule="auto"/>
        <w:rPr>
          <w:sz w:val="28"/>
          <w:szCs w:val="28"/>
        </w:rPr>
      </w:pPr>
    </w:p>
    <w:p w:rsidR="00653A6D" w:rsidRPr="0006784C" w:rsidRDefault="00653A6D" w:rsidP="00653A6D">
      <w:pPr>
        <w:spacing w:line="360" w:lineRule="auto"/>
        <w:rPr>
          <w:sz w:val="28"/>
          <w:szCs w:val="28"/>
        </w:rPr>
      </w:pPr>
    </w:p>
    <w:p w:rsidR="00653A6D" w:rsidRPr="0006784C" w:rsidRDefault="00653A6D" w:rsidP="00653A6D">
      <w:pPr>
        <w:spacing w:line="360" w:lineRule="auto"/>
        <w:jc w:val="center"/>
      </w:pPr>
      <w:r w:rsidRPr="0006784C">
        <w:rPr>
          <w:noProof/>
        </w:rPr>
        <w:lastRenderedPageBreak/>
        <w:drawing>
          <wp:inline distT="0" distB="0" distL="0" distR="0">
            <wp:extent cx="5934364" cy="3455554"/>
            <wp:effectExtent l="0" t="0" r="0" b="0"/>
            <wp:docPr id="4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3A6D" w:rsidRPr="00F1082C" w:rsidRDefault="00653A6D" w:rsidP="00653A6D">
      <w:pPr>
        <w:jc w:val="center"/>
        <w:rPr>
          <w:color w:val="000000" w:themeColor="text1"/>
          <w:sz w:val="24"/>
          <w:szCs w:val="28"/>
        </w:rPr>
      </w:pPr>
      <w:r w:rsidRPr="00F1082C">
        <w:rPr>
          <w:color w:val="000000" w:themeColor="text1"/>
          <w:sz w:val="24"/>
          <w:szCs w:val="28"/>
        </w:rPr>
        <w:t>Рисунок 1.7 б - Объем производства продукции сельского хозяйства по отдельным категориям хозяйств, в фактически действующих ценах, млн. рублей</w:t>
      </w:r>
    </w:p>
    <w:p w:rsidR="00653A6D" w:rsidRPr="00974E91" w:rsidRDefault="00653A6D" w:rsidP="00653A6D">
      <w:pPr>
        <w:spacing w:line="360" w:lineRule="auto"/>
        <w:ind w:left="1843" w:hanging="1843"/>
        <w:rPr>
          <w:sz w:val="8"/>
          <w:szCs w:val="28"/>
        </w:rPr>
      </w:pP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структуре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продукции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хозяйства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муниципального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Кинельский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традиционно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преобладает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продукция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растениеводства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(рис.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1.8).</w:t>
      </w:r>
    </w:p>
    <w:p w:rsidR="00653A6D" w:rsidRPr="0006784C" w:rsidRDefault="00653A6D" w:rsidP="00653A6D">
      <w:pPr>
        <w:spacing w:line="360" w:lineRule="auto"/>
        <w:jc w:val="center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noProof/>
          <w:color w:val="000000" w:themeColor="text1"/>
          <w:spacing w:val="2"/>
          <w:sz w:val="28"/>
          <w:szCs w:val="28"/>
        </w:rPr>
        <w:drawing>
          <wp:inline distT="0" distB="0" distL="0" distR="0">
            <wp:extent cx="5195454" cy="3546764"/>
            <wp:effectExtent l="0" t="0" r="0" b="0"/>
            <wp:docPr id="5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3A6D" w:rsidRPr="0006784C" w:rsidRDefault="00653A6D" w:rsidP="00653A6D">
      <w:pPr>
        <w:spacing w:line="360" w:lineRule="auto"/>
        <w:ind w:left="1701" w:hanging="1701"/>
        <w:rPr>
          <w:bCs/>
          <w:color w:val="000000" w:themeColor="text1"/>
          <w:spacing w:val="2"/>
          <w:sz w:val="28"/>
          <w:szCs w:val="28"/>
          <w:lang w:val="en-US"/>
        </w:rPr>
      </w:pPr>
    </w:p>
    <w:p w:rsidR="00653A6D" w:rsidRPr="00F1082C" w:rsidRDefault="00653A6D" w:rsidP="00653A6D">
      <w:pPr>
        <w:jc w:val="center"/>
        <w:rPr>
          <w:color w:val="000000" w:themeColor="text1"/>
          <w:sz w:val="24"/>
          <w:szCs w:val="28"/>
        </w:rPr>
      </w:pPr>
      <w:r w:rsidRPr="00F1082C">
        <w:rPr>
          <w:color w:val="000000" w:themeColor="text1"/>
          <w:sz w:val="24"/>
          <w:szCs w:val="28"/>
        </w:rPr>
        <w:t>Рисунок 1.8 – Динамика объемов производства продукции сельского хозяйства в хозяйствах всех категорий (в фактически действующих ценах, млн. руб.)</w:t>
      </w:r>
    </w:p>
    <w:p w:rsidR="00653A6D" w:rsidRPr="0006784C" w:rsidRDefault="00653A6D" w:rsidP="00653A6D">
      <w:pPr>
        <w:spacing w:line="360" w:lineRule="auto"/>
        <w:jc w:val="center"/>
        <w:rPr>
          <w:bCs/>
          <w:color w:val="000000" w:themeColor="text1"/>
          <w:spacing w:val="2"/>
          <w:sz w:val="18"/>
          <w:szCs w:val="18"/>
        </w:rPr>
      </w:pP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Растениеводство,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ежегодно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наращивающее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свои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объемы,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является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фундаментом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производстве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товарного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кормов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для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животноводства,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сырья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для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перерабатывающей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промышленности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(рис.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1.9).</w:t>
      </w:r>
    </w:p>
    <w:p w:rsidR="00653A6D" w:rsidRPr="0006784C" w:rsidRDefault="00653A6D" w:rsidP="00653A6D">
      <w:pPr>
        <w:spacing w:line="360" w:lineRule="auto"/>
        <w:jc w:val="center"/>
        <w:rPr>
          <w:sz w:val="28"/>
          <w:szCs w:val="28"/>
        </w:rPr>
      </w:pPr>
      <w:r w:rsidRPr="0006784C">
        <w:rPr>
          <w:noProof/>
          <w:sz w:val="28"/>
          <w:szCs w:val="28"/>
        </w:rPr>
        <w:drawing>
          <wp:inline distT="0" distB="0" distL="0" distR="0">
            <wp:extent cx="5695950" cy="3914775"/>
            <wp:effectExtent l="19050" t="0" r="19050" b="0"/>
            <wp:docPr id="4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3A6D" w:rsidRPr="00F1082C" w:rsidRDefault="00653A6D" w:rsidP="00653A6D">
      <w:pPr>
        <w:jc w:val="center"/>
        <w:rPr>
          <w:color w:val="000000" w:themeColor="text1"/>
          <w:sz w:val="24"/>
          <w:szCs w:val="28"/>
        </w:rPr>
      </w:pPr>
      <w:r w:rsidRPr="00F1082C">
        <w:rPr>
          <w:color w:val="000000" w:themeColor="text1"/>
          <w:sz w:val="24"/>
          <w:szCs w:val="28"/>
        </w:rPr>
        <w:t>Рисунок 1.9 – Валовой сбор продуктов растениеводства в хозяйствах всех категорий в муниципальном районе Кинельский, тыс. тонн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2013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наблюдается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валового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сбора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зерновых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зернобобовых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культур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хозяйствах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всех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категорий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муниципальном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Кинельский.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Исключением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стал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когда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погодные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условия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позволили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раскрыть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весь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потенциал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урожая,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заложенный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земледельцами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района: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озимых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культур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под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урожай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составил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17400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га;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посевная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площадь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73,2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4,1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больше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уровня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площадь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зерновых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зернобобовых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36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1000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больше,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чем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lastRenderedPageBreak/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оригинальных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элитных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семян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озимых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культур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было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высеяно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573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тонны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(16%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общего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количества);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оригинальных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элитных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семян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яровых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зерновых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зернобобовых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—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734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(18%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общего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количества);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внесение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минеральных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удобрений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составило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19,2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кг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посевной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площади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(2014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18,7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кг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д.в.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га).</w:t>
      </w:r>
    </w:p>
    <w:p w:rsidR="00653A6D" w:rsidRPr="000B0526" w:rsidRDefault="00653A6D" w:rsidP="00653A6D">
      <w:pPr>
        <w:spacing w:line="360" w:lineRule="auto"/>
        <w:ind w:firstLine="709"/>
        <w:jc w:val="both"/>
        <w:rPr>
          <w:bCs/>
          <w:strike/>
          <w:color w:val="000000" w:themeColor="text1"/>
          <w:spacing w:val="2"/>
          <w:sz w:val="28"/>
          <w:szCs w:val="28"/>
        </w:rPr>
      </w:pPr>
      <w:r w:rsidRPr="000B0526">
        <w:rPr>
          <w:bCs/>
          <w:strike/>
          <w:color w:val="000000" w:themeColor="text1"/>
          <w:spacing w:val="2"/>
          <w:sz w:val="28"/>
          <w:szCs w:val="28"/>
        </w:rPr>
        <w:t xml:space="preserve">Весна 2015 года выдалась на редкость благоприятной - обилие дождей практически на всей территории района порой даже приостанавливало ход посевной кампании, вселяя надежду на хороший урожай. Однако высокие аномальные температуры (+32…+37°С), установившиеся в период с 26 мая по 30 июня, вызвали атмосферную засуху и привели к гибели яровых культур в хозяйствах части района, особенно южной, на площади 1861 га и к значительному снижению урожайности и валового сбора сельскохозяйственных культур на всей территории района. </w:t>
      </w:r>
    </w:p>
    <w:p w:rsidR="00653A6D" w:rsidRPr="000B0526" w:rsidRDefault="00653A6D" w:rsidP="00653A6D">
      <w:pPr>
        <w:spacing w:line="360" w:lineRule="auto"/>
        <w:ind w:firstLine="709"/>
        <w:jc w:val="both"/>
        <w:rPr>
          <w:bCs/>
          <w:strike/>
          <w:color w:val="000000" w:themeColor="text1"/>
          <w:spacing w:val="2"/>
          <w:sz w:val="28"/>
          <w:szCs w:val="28"/>
        </w:rPr>
      </w:pPr>
      <w:r w:rsidRPr="000B0526">
        <w:rPr>
          <w:bCs/>
          <w:strike/>
          <w:color w:val="000000" w:themeColor="text1"/>
          <w:spacing w:val="2"/>
          <w:sz w:val="28"/>
          <w:szCs w:val="28"/>
        </w:rPr>
        <w:t xml:space="preserve">6 июля 2015 года была объявлена чрезвычайная ситуация природного характера на всей территории муниципального района Кинельский. Введение ЧС было необходимой и вполне оправданной мерой, и проведенные мероприятия позволили несколько минимизировать ее последствия. Более организованно прошла заготовка кормов для животноводческих предприятий всех форм собственности с максимальным использованием возможностей в сложившихся условиях. Введение ЧС также позволило пострадавшим от засухи предприятиям получить компенсационные выплаты из федерального бюджета.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Посевная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кампания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погодными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условиями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оказалась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легких.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менее,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аграриям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удалось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успешно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ее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провести.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iCs/>
          <w:color w:val="000000" w:themeColor="text1"/>
          <w:sz w:val="28"/>
          <w:szCs w:val="28"/>
        </w:rPr>
        <w:t>Было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06784C">
        <w:rPr>
          <w:iCs/>
          <w:color w:val="000000" w:themeColor="text1"/>
          <w:sz w:val="28"/>
          <w:szCs w:val="28"/>
        </w:rPr>
        <w:t>отмечено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06784C">
        <w:rPr>
          <w:iCs/>
          <w:color w:val="000000" w:themeColor="text1"/>
          <w:sz w:val="28"/>
          <w:szCs w:val="28"/>
        </w:rPr>
        <w:t>хорошее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06784C">
        <w:rPr>
          <w:iCs/>
          <w:color w:val="000000" w:themeColor="text1"/>
          <w:sz w:val="28"/>
          <w:szCs w:val="28"/>
        </w:rPr>
        <w:t>состояние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06784C">
        <w:rPr>
          <w:iCs/>
          <w:color w:val="000000" w:themeColor="text1"/>
          <w:sz w:val="28"/>
          <w:szCs w:val="28"/>
        </w:rPr>
        <w:t>посевов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06784C">
        <w:rPr>
          <w:iCs/>
          <w:color w:val="000000" w:themeColor="text1"/>
          <w:sz w:val="28"/>
          <w:szCs w:val="28"/>
        </w:rPr>
        <w:t>озимых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06784C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06784C">
        <w:rPr>
          <w:iCs/>
          <w:color w:val="000000" w:themeColor="text1"/>
          <w:sz w:val="28"/>
          <w:szCs w:val="28"/>
        </w:rPr>
        <w:t>яровых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06784C">
        <w:rPr>
          <w:iCs/>
          <w:color w:val="000000" w:themeColor="text1"/>
          <w:sz w:val="28"/>
          <w:szCs w:val="28"/>
        </w:rPr>
        <w:t>культур.</w:t>
      </w:r>
      <w:r>
        <w:rPr>
          <w:iCs/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6784C">
        <w:rPr>
          <w:rFonts w:eastAsia="Calibri"/>
          <w:color w:val="000000" w:themeColor="text1"/>
          <w:sz w:val="28"/>
          <w:szCs w:val="28"/>
        </w:rPr>
        <w:t>Уборочная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кампания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районе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началась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позже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обычного.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Дождливый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июнь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низкие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температуры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вначале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лета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на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целый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месяц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задержали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уборочную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кампанию.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Понимая,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что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от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сроков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ее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проведения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зависит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урожай,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аграрии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максимально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использовали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каждый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день.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lastRenderedPageBreak/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результате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стал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одним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из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самых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урожайных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последние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десятилетия.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Хлеборобы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собрали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более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95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тонн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весе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после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доработки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уборочной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площади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35,4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средней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урожайностью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ц/га,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время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как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валовой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сбор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несколько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последних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лет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превышал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75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валового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сбора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продуктов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растениеводства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хозяйствах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муниципального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Кинельский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повлияло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посевных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площадей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(рис.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1.10).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Так,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сравнению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посевная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площадь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увеличилась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14683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или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23,60%.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18"/>
          <w:szCs w:val="18"/>
        </w:rPr>
      </w:pPr>
    </w:p>
    <w:p w:rsidR="00653A6D" w:rsidRPr="0006784C" w:rsidRDefault="00653A6D" w:rsidP="00653A6D">
      <w:pPr>
        <w:spacing w:line="360" w:lineRule="auto"/>
        <w:jc w:val="center"/>
        <w:rPr>
          <w:bCs/>
          <w:color w:val="000000"/>
          <w:spacing w:val="2"/>
          <w:sz w:val="28"/>
          <w:szCs w:val="28"/>
        </w:rPr>
      </w:pPr>
      <w:r w:rsidRPr="0006784C">
        <w:rPr>
          <w:noProof/>
          <w:sz w:val="28"/>
          <w:szCs w:val="28"/>
        </w:rPr>
        <w:drawing>
          <wp:inline distT="0" distB="0" distL="0" distR="0">
            <wp:extent cx="3962400" cy="2743200"/>
            <wp:effectExtent l="19050" t="0" r="19050" b="0"/>
            <wp:docPr id="4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3A6D" w:rsidRPr="00F1082C" w:rsidRDefault="00653A6D" w:rsidP="00653A6D">
      <w:pPr>
        <w:jc w:val="center"/>
        <w:rPr>
          <w:color w:val="000000" w:themeColor="text1"/>
          <w:sz w:val="24"/>
          <w:szCs w:val="28"/>
        </w:rPr>
      </w:pPr>
      <w:r w:rsidRPr="00F1082C">
        <w:rPr>
          <w:color w:val="000000" w:themeColor="text1"/>
          <w:sz w:val="24"/>
          <w:szCs w:val="28"/>
        </w:rPr>
        <w:t>Рисунок 1.10 – Динамика посевной площади, га</w:t>
      </w:r>
    </w:p>
    <w:p w:rsidR="00653A6D" w:rsidRPr="0006784C" w:rsidRDefault="00653A6D" w:rsidP="00653A6D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Следует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отметить,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что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целом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эффективность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сельскохозяйственного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производства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муниципальном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Кинельский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растет,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хотя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всем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культурам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(рис.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1.11).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Так,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2006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средний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цепной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прирост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урожайности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зерновых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зернобобовых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культур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весе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после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доработки)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составил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11,65%,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подсолнечника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весе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после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доработки)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13,47%,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картофеля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5,13%.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этом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рассматриваемый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период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общий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прирост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урожайности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зерновых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зернобобовых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культур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весе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после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доработки)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составил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92,45%,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подсолнечника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весе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после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доработки)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72,97%.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время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урожайность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картофеля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этот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период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сократилась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12,56%,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овощей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21,41%.</w:t>
      </w:r>
    </w:p>
    <w:p w:rsidR="00653A6D" w:rsidRPr="0006784C" w:rsidRDefault="00653A6D" w:rsidP="00653A6D">
      <w:pPr>
        <w:spacing w:line="360" w:lineRule="auto"/>
        <w:jc w:val="both"/>
        <w:rPr>
          <w:bCs/>
          <w:color w:val="000000" w:themeColor="text1"/>
          <w:spacing w:val="2"/>
          <w:sz w:val="28"/>
          <w:szCs w:val="28"/>
          <w:lang w:val="en-US"/>
        </w:rPr>
      </w:pPr>
      <w:r w:rsidRPr="0006784C">
        <w:rPr>
          <w:bCs/>
          <w:noProof/>
          <w:color w:val="000000" w:themeColor="text1"/>
          <w:spacing w:val="2"/>
          <w:sz w:val="28"/>
          <w:szCs w:val="28"/>
        </w:rPr>
        <w:lastRenderedPageBreak/>
        <w:drawing>
          <wp:inline distT="0" distB="0" distL="0" distR="0">
            <wp:extent cx="6068060" cy="4017819"/>
            <wp:effectExtent l="0" t="0" r="0" b="0"/>
            <wp:docPr id="5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3A6D" w:rsidRPr="00F1082C" w:rsidRDefault="00653A6D" w:rsidP="00653A6D">
      <w:pPr>
        <w:jc w:val="center"/>
        <w:rPr>
          <w:color w:val="000000" w:themeColor="text1"/>
          <w:sz w:val="24"/>
          <w:szCs w:val="28"/>
        </w:rPr>
      </w:pPr>
      <w:r w:rsidRPr="00F1082C">
        <w:rPr>
          <w:color w:val="000000" w:themeColor="text1"/>
          <w:sz w:val="24"/>
          <w:szCs w:val="28"/>
        </w:rPr>
        <w:t>Рисунок 1.11.1 – Урожайность зерновых, зернобобовых культур, подсолнечника в хозяйствах всех категорий в муниципальном районе Кинельский, в центнерах с 1 гектара убранной площади</w:t>
      </w:r>
    </w:p>
    <w:p w:rsidR="00653A6D" w:rsidRPr="0006784C" w:rsidRDefault="00653A6D" w:rsidP="00653A6D">
      <w:pPr>
        <w:spacing w:line="360" w:lineRule="auto"/>
        <w:jc w:val="both"/>
        <w:rPr>
          <w:bCs/>
          <w:color w:val="000000" w:themeColor="text1"/>
          <w:spacing w:val="2"/>
          <w:sz w:val="28"/>
          <w:szCs w:val="28"/>
          <w:lang w:val="en-US"/>
        </w:rPr>
      </w:pPr>
      <w:r w:rsidRPr="0006784C">
        <w:rPr>
          <w:bCs/>
          <w:noProof/>
          <w:color w:val="000000" w:themeColor="text1"/>
          <w:spacing w:val="2"/>
          <w:sz w:val="28"/>
          <w:szCs w:val="28"/>
        </w:rPr>
        <w:drawing>
          <wp:inline distT="0" distB="0" distL="0" distR="0">
            <wp:extent cx="6192520" cy="3893127"/>
            <wp:effectExtent l="0" t="0" r="0" b="0"/>
            <wp:docPr id="5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3A6D" w:rsidRPr="00F1082C" w:rsidRDefault="00653A6D" w:rsidP="00653A6D">
      <w:pPr>
        <w:jc w:val="center"/>
        <w:rPr>
          <w:color w:val="000000" w:themeColor="text1"/>
          <w:sz w:val="24"/>
          <w:szCs w:val="28"/>
        </w:rPr>
      </w:pPr>
      <w:r w:rsidRPr="00F1082C">
        <w:rPr>
          <w:color w:val="000000" w:themeColor="text1"/>
          <w:sz w:val="24"/>
          <w:szCs w:val="28"/>
        </w:rPr>
        <w:t>Рисунок 1.11.2 – Урожайность сельскохозяйственных культур (картофеля, овощей) в хозяйствах всех категорий в муниципальном районе Кинельский, в центнерах с 1 гектара убранной площади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6784C">
        <w:rPr>
          <w:bCs/>
          <w:color w:val="000000" w:themeColor="text1"/>
          <w:sz w:val="28"/>
          <w:szCs w:val="28"/>
        </w:rPr>
        <w:lastRenderedPageBreak/>
        <w:t>Лучшими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предприятиями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по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валовому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сбору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зерна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(в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бункерном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весе)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2017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г.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стали:</w:t>
      </w:r>
    </w:p>
    <w:p w:rsidR="00653A6D" w:rsidRPr="0006784C" w:rsidRDefault="00653A6D" w:rsidP="00653A6D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Компания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«БИО-ТОН»,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собравшее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14,6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тонн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средней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урожайности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48,5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ц/га;</w:t>
      </w:r>
    </w:p>
    <w:p w:rsidR="00653A6D" w:rsidRPr="0006784C" w:rsidRDefault="00653A6D" w:rsidP="00653A6D">
      <w:pPr>
        <w:tabs>
          <w:tab w:val="left" w:pos="993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</w:t>
      </w:r>
      <w:proofErr w:type="spellStart"/>
      <w:r w:rsidRPr="0006784C">
        <w:rPr>
          <w:color w:val="000000" w:themeColor="text1"/>
          <w:sz w:val="28"/>
          <w:szCs w:val="28"/>
        </w:rPr>
        <w:t>Парфеновское</w:t>
      </w:r>
      <w:proofErr w:type="spellEnd"/>
      <w:r w:rsidRPr="0006784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9,8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тонн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средней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урожайности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28,5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ц/га;</w:t>
      </w:r>
    </w:p>
    <w:p w:rsidR="00653A6D" w:rsidRPr="0006784C" w:rsidRDefault="00653A6D" w:rsidP="00653A6D">
      <w:pPr>
        <w:tabs>
          <w:tab w:val="left" w:pos="993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«Астра»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7,9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тонн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средней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урожайности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35,9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ц/га.</w:t>
      </w:r>
    </w:p>
    <w:p w:rsidR="00653A6D" w:rsidRPr="0006784C" w:rsidRDefault="00653A6D" w:rsidP="00653A6D">
      <w:pPr>
        <w:pStyle w:val="a3"/>
        <w:tabs>
          <w:tab w:val="left" w:pos="993"/>
        </w:tabs>
        <w:ind w:left="0"/>
        <w:rPr>
          <w:color w:val="000000" w:themeColor="text1"/>
          <w:szCs w:val="28"/>
        </w:rPr>
      </w:pPr>
      <w:r w:rsidRPr="0006784C">
        <w:rPr>
          <w:color w:val="000000" w:themeColor="text1"/>
          <w:szCs w:val="28"/>
        </w:rPr>
        <w:t>Среди</w:t>
      </w:r>
      <w:r>
        <w:rPr>
          <w:color w:val="000000" w:themeColor="text1"/>
          <w:szCs w:val="28"/>
        </w:rPr>
        <w:t xml:space="preserve"> </w:t>
      </w:r>
      <w:r w:rsidRPr="0006784C">
        <w:rPr>
          <w:color w:val="000000" w:themeColor="text1"/>
          <w:szCs w:val="28"/>
        </w:rPr>
        <w:t>КФХ</w:t>
      </w:r>
      <w:r>
        <w:rPr>
          <w:color w:val="000000" w:themeColor="text1"/>
          <w:szCs w:val="28"/>
        </w:rPr>
        <w:t xml:space="preserve"> </w:t>
      </w:r>
      <w:r w:rsidRPr="0006784C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 </w:t>
      </w:r>
      <w:r w:rsidRPr="0006784C">
        <w:rPr>
          <w:color w:val="000000" w:themeColor="text1"/>
          <w:szCs w:val="28"/>
        </w:rPr>
        <w:t>индивидуальных</w:t>
      </w:r>
      <w:r>
        <w:rPr>
          <w:color w:val="000000" w:themeColor="text1"/>
          <w:szCs w:val="28"/>
        </w:rPr>
        <w:t xml:space="preserve"> </w:t>
      </w:r>
      <w:r w:rsidRPr="0006784C">
        <w:rPr>
          <w:color w:val="000000" w:themeColor="text1"/>
          <w:szCs w:val="28"/>
        </w:rPr>
        <w:t>предпринимателей:</w:t>
      </w:r>
    </w:p>
    <w:p w:rsidR="00653A6D" w:rsidRPr="0006784C" w:rsidRDefault="00653A6D" w:rsidP="00653A6D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КХ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</w:t>
      </w:r>
      <w:proofErr w:type="spellStart"/>
      <w:r w:rsidRPr="0006784C">
        <w:rPr>
          <w:color w:val="000000" w:themeColor="text1"/>
          <w:sz w:val="28"/>
          <w:szCs w:val="28"/>
        </w:rPr>
        <w:t>Артемово</w:t>
      </w:r>
      <w:proofErr w:type="spellEnd"/>
      <w:r w:rsidRPr="0006784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3,1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тонн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средней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урожайности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21,7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ц/га;</w:t>
      </w:r>
    </w:p>
    <w:p w:rsidR="00653A6D" w:rsidRPr="0006784C" w:rsidRDefault="00653A6D" w:rsidP="00653A6D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ИП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глава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КФХ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Печников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В.В.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1,1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тонн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средней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урожайности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24,0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ц/га;</w:t>
      </w:r>
    </w:p>
    <w:p w:rsidR="00653A6D" w:rsidRPr="0006784C" w:rsidRDefault="00653A6D" w:rsidP="00653A6D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ИП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Леонтьева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Е.В.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0,9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тонн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средней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урожайности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19,6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ц/га.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Увеличение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урожайности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связано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многом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увеличением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вносимых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минеральных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удобрений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(рис.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1.12).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современных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условиях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широко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пропагандируется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альтернативное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земледелие,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предусматривающее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внесение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только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органических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удобрений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борьбу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вредителями,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болезнями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сорняками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лишь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агротехническими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биологическими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методами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отказ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минеральных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удобрений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целях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снижения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экологической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нагрузки.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очень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сомнительно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данном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этапе,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так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как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существенно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удорожает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стоимость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получаемой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продукции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снижает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общий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сбор.</w:t>
      </w:r>
    </w:p>
    <w:p w:rsidR="00653A6D" w:rsidRPr="0006784C" w:rsidRDefault="00653A6D" w:rsidP="00653A6D">
      <w:pPr>
        <w:spacing w:line="360" w:lineRule="auto"/>
        <w:jc w:val="center"/>
        <w:rPr>
          <w:color w:val="000000"/>
          <w:sz w:val="28"/>
          <w:szCs w:val="28"/>
        </w:rPr>
      </w:pPr>
      <w:r w:rsidRPr="0006784C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5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53A6D" w:rsidRPr="00F1082C" w:rsidRDefault="00653A6D" w:rsidP="00653A6D">
      <w:pPr>
        <w:jc w:val="center"/>
        <w:rPr>
          <w:color w:val="000000" w:themeColor="text1"/>
          <w:sz w:val="24"/>
          <w:szCs w:val="28"/>
        </w:rPr>
      </w:pPr>
      <w:r w:rsidRPr="00F1082C">
        <w:rPr>
          <w:color w:val="000000" w:themeColor="text1"/>
          <w:sz w:val="24"/>
          <w:szCs w:val="28"/>
        </w:rPr>
        <w:t>Рисунок 1. 12 – Динамика внесения минеральных удобрений (в пересчете на 100% питательных веществ) под посевы сельскохозяйственных культур в сельскохозяйственных организациях муниципального района Кинельский, (в центнерах)</w:t>
      </w:r>
    </w:p>
    <w:p w:rsidR="00653A6D" w:rsidRPr="0006784C" w:rsidRDefault="00653A6D" w:rsidP="00653A6D">
      <w:pPr>
        <w:spacing w:line="360" w:lineRule="auto"/>
        <w:jc w:val="both"/>
        <w:rPr>
          <w:color w:val="000000" w:themeColor="text1"/>
          <w:sz w:val="28"/>
          <w:szCs w:val="28"/>
          <w:vertAlign w:val="superscript"/>
        </w:rPr>
      </w:pPr>
    </w:p>
    <w:p w:rsidR="00FF4415" w:rsidRDefault="00653A6D" w:rsidP="00653A6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Сравнение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валового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сбора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урожайности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свидетельствует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том,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данным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показателям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Кинельский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занимает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срединное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значение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всех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области.</w:t>
      </w:r>
      <w:r>
        <w:rPr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лидерах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sz w:val="28"/>
          <w:szCs w:val="28"/>
        </w:rPr>
        <w:t>Ставропольский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Традиционно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высокие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урожаи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связаны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занимаются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селекционной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работой.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устаревшие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семена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заменяются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региональными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элитными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семенами.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небольшие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опытные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испытываются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сортов,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аграрии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ездят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регионам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урожайностью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берут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образцы.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Органических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удобрений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вносится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минеральных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удобрений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тенденция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сохраняется.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Урожай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урожайность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основа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всего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сельскохозяйственного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производства,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главные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показатели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использования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сельскохозяйственных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угодий,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источник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роста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благосостояния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территории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ее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населения.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Повышение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урожайности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важнейший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фактор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снижения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затрат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единицу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продукции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роста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ее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конкурентоспособности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рынке.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силу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lastRenderedPageBreak/>
        <w:t>ограниченности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земли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только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рост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урожайности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может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обеспечить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объемов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производства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продукции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растениеводства.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Существенный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вклад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урожайность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вносит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качество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почв.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сегодняшний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день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территории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Самарской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области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наблюдается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устойчивая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тенденция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активной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деградации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почвенного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покрова,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отражающаяся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продуктивности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земель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вызывающая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расширение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ареалов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проблемных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кризисных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экологических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ситуаций.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Антропогенные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воздействия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земли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интенсивно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возрастают,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негативные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последствия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характеризуются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дальнейшим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усилением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процессов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эрозии,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подтопления,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загрязнения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захламления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земель,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разрушения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почвенного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растительного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покрова.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Одним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из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наиболее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опасных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видов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деградации,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вызывающих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разрушение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почв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утрату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плодородия,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является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эрозия.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Вследствие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влияния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эрозионных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процессов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совокупности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другими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факторами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почвах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наблюдаются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такие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негативные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процессы,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как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уменьшение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гумусового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слоя,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потеря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важнейших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элементов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питания,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снижение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содержания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гумуса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дегумификация</w:t>
      </w:r>
      <w:proofErr w:type="spellEnd"/>
      <w:r w:rsidRPr="0006784C">
        <w:rPr>
          <w:bCs/>
          <w:color w:val="000000" w:themeColor="text1"/>
          <w:spacing w:val="2"/>
          <w:sz w:val="28"/>
          <w:szCs w:val="28"/>
        </w:rPr>
        <w:t>).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Основными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причинами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деградации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почв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территории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региона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являются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неправильное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сельскохозяйственное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использование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загрязнение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почвы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продуктами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антропогенной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деятельности,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числе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техногенное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воздействие.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Отрасль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животноводства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муниципальном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Кинельский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также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динамично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развивается,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этом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убедительно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свидетельствуют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следующие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результаты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(рис.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1.13).</w:t>
      </w:r>
    </w:p>
    <w:p w:rsidR="00653A6D" w:rsidRPr="0006784C" w:rsidRDefault="00653A6D" w:rsidP="00653A6D">
      <w:pPr>
        <w:spacing w:line="360" w:lineRule="auto"/>
        <w:jc w:val="center"/>
        <w:rPr>
          <w:bCs/>
          <w:spacing w:val="2"/>
          <w:sz w:val="28"/>
          <w:szCs w:val="28"/>
        </w:rPr>
      </w:pPr>
      <w:r w:rsidRPr="0006784C">
        <w:rPr>
          <w:bCs/>
          <w:noProof/>
          <w:spacing w:val="2"/>
          <w:sz w:val="28"/>
          <w:szCs w:val="28"/>
        </w:rPr>
        <w:lastRenderedPageBreak/>
        <w:drawing>
          <wp:inline distT="0" distB="0" distL="0" distR="0">
            <wp:extent cx="5644771" cy="3398293"/>
            <wp:effectExtent l="19050" t="0" r="13079" b="0"/>
            <wp:docPr id="5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3A6D" w:rsidRPr="00F1082C" w:rsidRDefault="00653A6D" w:rsidP="00653A6D">
      <w:pPr>
        <w:jc w:val="center"/>
        <w:rPr>
          <w:color w:val="000000" w:themeColor="text1"/>
          <w:sz w:val="24"/>
          <w:szCs w:val="28"/>
        </w:rPr>
      </w:pPr>
      <w:r w:rsidRPr="00F1082C">
        <w:rPr>
          <w:color w:val="000000" w:themeColor="text1"/>
          <w:sz w:val="24"/>
          <w:szCs w:val="28"/>
        </w:rPr>
        <w:t>Рисунок 1.13 – Динамика поголовья скота в хозяйствах всех категорий, тыс. голов</w:t>
      </w:r>
    </w:p>
    <w:p w:rsidR="00653A6D" w:rsidRDefault="00653A6D" w:rsidP="00653A6D">
      <w:pPr>
        <w:spacing w:line="360" w:lineRule="auto"/>
        <w:jc w:val="center"/>
        <w:rPr>
          <w:bCs/>
          <w:color w:val="000000" w:themeColor="text1"/>
          <w:spacing w:val="2"/>
          <w:sz w:val="18"/>
          <w:szCs w:val="18"/>
        </w:rPr>
      </w:pPr>
    </w:p>
    <w:p w:rsidR="00653A6D" w:rsidRPr="0006784C" w:rsidRDefault="00653A6D" w:rsidP="00653A6D">
      <w:pPr>
        <w:spacing w:line="360" w:lineRule="auto"/>
        <w:jc w:val="center"/>
        <w:rPr>
          <w:bCs/>
          <w:color w:val="000000" w:themeColor="text1"/>
          <w:spacing w:val="2"/>
          <w:sz w:val="18"/>
          <w:szCs w:val="18"/>
        </w:rPr>
      </w:pP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Так,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поголовье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свиней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2009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постепенно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увеличивалось,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достигнув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максимума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(85,2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голов).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количество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свиней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практически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менялось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концу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составило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25,8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целом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период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2008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поголовье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свиней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увеличилось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4,8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раза.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Однако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поголовье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свиней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снова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уменьшилось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сравнению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33,6%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составило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17,15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многом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произошло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счет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сокращения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поголовья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свиней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«Гибридный»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«Возрождение»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ростом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цен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концентрированные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корма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вызванной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этим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нерентабельностью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свинины.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Минимальное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поголовье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овец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коз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было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достигнуто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2008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2011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составило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2,1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максимальное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составило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4,65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целом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период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2006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поголовье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овец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коз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увеличилось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86%.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Поголовье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крупного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рогатого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скота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(КРС)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изменялось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меньшим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разбросом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значений.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Наименьшее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количество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было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зафиксировано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2009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(8,2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голов),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наибольшее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(14,5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голов).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целом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период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2008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поголовье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увеличилось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61,7%.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Однако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lastRenderedPageBreak/>
        <w:t>снова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произошло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уменьшение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поголовья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5,26%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сравнению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составило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13,74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главным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образом,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счет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снижения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поголовья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им.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Антонова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(поражение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бруцеллезом).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ростом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поголовья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растет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производство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молока.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кинельские</w:t>
      </w:r>
      <w:proofErr w:type="spellEnd"/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произвели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20,5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тонн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молока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(100,4%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уровню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предыдущего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года),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среднем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надое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сельхозпредприятиях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5509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кг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молока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одной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фуражной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коровы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13,7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тонн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мяса,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что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составляет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113,1%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уровню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предыдущего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года.</w:t>
      </w:r>
    </w:p>
    <w:p w:rsidR="00653A6D" w:rsidRPr="0006784C" w:rsidRDefault="00653A6D" w:rsidP="00653A6D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среднем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надой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фуражную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корову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составил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6613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кг,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1104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кг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выше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уровня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предыдущего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года.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Необходимо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отметить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особый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вклад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</w:t>
      </w:r>
      <w:proofErr w:type="spellStart"/>
      <w:r w:rsidRPr="0006784C">
        <w:rPr>
          <w:color w:val="000000" w:themeColor="text1"/>
          <w:sz w:val="28"/>
          <w:szCs w:val="28"/>
        </w:rPr>
        <w:t>ЭкоПродукт</w:t>
      </w:r>
      <w:proofErr w:type="spellEnd"/>
      <w:r w:rsidRPr="0006784C">
        <w:rPr>
          <w:color w:val="000000" w:themeColor="text1"/>
          <w:sz w:val="28"/>
          <w:szCs w:val="28"/>
        </w:rPr>
        <w:t>»,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где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увеличено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поголовье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коров,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составляющее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сейчас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1005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голов,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продуктивность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дойного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стада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достигла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10217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кг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молока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фуражную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корову.</w:t>
      </w:r>
    </w:p>
    <w:p w:rsidR="00653A6D" w:rsidRPr="0006784C" w:rsidRDefault="00653A6D" w:rsidP="00653A6D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стал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третьим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объемам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молока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сельскохозяйственных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предприятиях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КФХ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третьим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объемам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мяса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убой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хозяйствах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всех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категорий.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муниципальном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Кинельский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постепенно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увеличивается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производство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молока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(рис.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1.14).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Так,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сравнению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2008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производство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молока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увеличилось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25,33%.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время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этот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период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производство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яиц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сократилось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50,61%,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меда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62,83%,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шерсти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увеличилось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80%.</w:t>
      </w:r>
    </w:p>
    <w:p w:rsidR="00653A6D" w:rsidRPr="0006784C" w:rsidRDefault="00653A6D" w:rsidP="00653A6D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Производство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скота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птицы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2008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увеличилось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99,11%.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Причем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2012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наблюдалось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рекордное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значение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этого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показателя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13,9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видов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скота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птицы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убой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составило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10,8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тонн</w:t>
      </w:r>
      <w:r>
        <w:rPr>
          <w:color w:val="000000" w:themeColor="text1"/>
          <w:sz w:val="28"/>
          <w:szCs w:val="28"/>
        </w:rPr>
        <w:t xml:space="preserve">, </w:t>
      </w:r>
      <w:r w:rsidRPr="0006784C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2,21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тонн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(17,53%)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меньше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сравнению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счет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снижения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реализации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мяса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«Гибридный»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причине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резкого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сокращения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поголовья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свиней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опасностью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вспышки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АЧС.</w:t>
      </w:r>
      <w:r>
        <w:rPr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Динамика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показателей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продуктов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животноводства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хозяйствах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выглядит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следующим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образом.</w:t>
      </w:r>
    </w:p>
    <w:p w:rsidR="00653A6D" w:rsidRPr="0006784C" w:rsidRDefault="00653A6D" w:rsidP="00653A6D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6784C">
        <w:rPr>
          <w:noProof/>
          <w:sz w:val="28"/>
          <w:szCs w:val="28"/>
        </w:rPr>
        <w:lastRenderedPageBreak/>
        <w:drawing>
          <wp:inline distT="0" distB="0" distL="0" distR="0">
            <wp:extent cx="5041900" cy="2895600"/>
            <wp:effectExtent l="0" t="0" r="25400" b="19050"/>
            <wp:docPr id="5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53A6D" w:rsidRPr="0006784C" w:rsidRDefault="00653A6D" w:rsidP="00653A6D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6784C">
        <w:rPr>
          <w:noProof/>
          <w:sz w:val="28"/>
          <w:szCs w:val="28"/>
        </w:rPr>
        <w:drawing>
          <wp:inline distT="0" distB="0" distL="0" distR="0">
            <wp:extent cx="5041900" cy="2844800"/>
            <wp:effectExtent l="0" t="0" r="25400" b="12700"/>
            <wp:docPr id="59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53A6D" w:rsidRPr="0006784C" w:rsidRDefault="00653A6D" w:rsidP="00653A6D">
      <w:pPr>
        <w:spacing w:line="360" w:lineRule="auto"/>
        <w:ind w:firstLine="709"/>
        <w:rPr>
          <w:sz w:val="28"/>
          <w:szCs w:val="28"/>
        </w:rPr>
      </w:pPr>
      <w:r w:rsidRPr="0006784C">
        <w:rPr>
          <w:noProof/>
          <w:sz w:val="28"/>
          <w:szCs w:val="28"/>
        </w:rPr>
        <w:drawing>
          <wp:inline distT="0" distB="0" distL="0" distR="0">
            <wp:extent cx="5041900" cy="2743200"/>
            <wp:effectExtent l="0" t="0" r="25400" b="19050"/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53A6D" w:rsidRPr="0006784C" w:rsidRDefault="00653A6D" w:rsidP="00653A6D">
      <w:pPr>
        <w:spacing w:line="360" w:lineRule="auto"/>
        <w:ind w:firstLine="709"/>
        <w:rPr>
          <w:sz w:val="28"/>
          <w:szCs w:val="28"/>
        </w:rPr>
      </w:pPr>
    </w:p>
    <w:p w:rsidR="00653A6D" w:rsidRPr="0006784C" w:rsidRDefault="00653A6D" w:rsidP="00653A6D">
      <w:pPr>
        <w:spacing w:line="360" w:lineRule="auto"/>
        <w:ind w:firstLine="709"/>
        <w:rPr>
          <w:sz w:val="28"/>
          <w:szCs w:val="28"/>
        </w:rPr>
      </w:pPr>
      <w:r w:rsidRPr="0006784C">
        <w:rPr>
          <w:noProof/>
          <w:sz w:val="28"/>
          <w:szCs w:val="28"/>
        </w:rPr>
        <w:lastRenderedPageBreak/>
        <w:drawing>
          <wp:inline distT="0" distB="0" distL="0" distR="0">
            <wp:extent cx="4991100" cy="2933700"/>
            <wp:effectExtent l="0" t="0" r="19050" b="19050"/>
            <wp:docPr id="1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53A6D" w:rsidRPr="0006784C" w:rsidRDefault="00653A6D" w:rsidP="00653A6D">
      <w:pPr>
        <w:spacing w:line="360" w:lineRule="auto"/>
        <w:ind w:firstLine="709"/>
        <w:rPr>
          <w:sz w:val="28"/>
          <w:szCs w:val="28"/>
        </w:rPr>
      </w:pPr>
      <w:r w:rsidRPr="0006784C">
        <w:rPr>
          <w:noProof/>
          <w:sz w:val="28"/>
          <w:szCs w:val="28"/>
        </w:rPr>
        <w:drawing>
          <wp:inline distT="0" distB="0" distL="0" distR="0">
            <wp:extent cx="4991100" cy="3073400"/>
            <wp:effectExtent l="0" t="0" r="19050" b="12700"/>
            <wp:docPr id="6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53A6D" w:rsidRPr="00F1082C" w:rsidRDefault="00653A6D" w:rsidP="00653A6D">
      <w:pPr>
        <w:jc w:val="center"/>
        <w:rPr>
          <w:color w:val="000000" w:themeColor="text1"/>
          <w:sz w:val="24"/>
          <w:szCs w:val="28"/>
        </w:rPr>
      </w:pPr>
      <w:r w:rsidRPr="00F1082C">
        <w:rPr>
          <w:color w:val="000000" w:themeColor="text1"/>
          <w:sz w:val="24"/>
          <w:szCs w:val="28"/>
        </w:rPr>
        <w:t>Рисунок 1.14 – Динамика основных показателей производства основных продуктов животноводства в хозяйствах всех категорий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Сравнение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молока,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скота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птицы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свидетельствует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том,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данным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показателям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Кинельский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находится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лидерах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(Приложение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табл.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12).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Относительно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хорошие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показатели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сельхозпроизводству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связаны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реализацией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территории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крупных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инвестиционных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проектов.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таковым,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например,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можно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отнести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строительство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животноводческого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комплекса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1000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дойного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стада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ООО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«Сельскохозяйственное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lastRenderedPageBreak/>
        <w:t>предприятие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«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ЭкоПродукт</w:t>
      </w:r>
      <w:proofErr w:type="spellEnd"/>
      <w:r w:rsidRPr="0006784C">
        <w:rPr>
          <w:bCs/>
          <w:color w:val="000000" w:themeColor="text1"/>
          <w:spacing w:val="2"/>
          <w:sz w:val="28"/>
          <w:szCs w:val="28"/>
        </w:rPr>
        <w:t>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Богдановка.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01.01.2017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поголовье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комплексе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составило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1887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числе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коров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840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Надой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фуражную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корову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итогам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года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составил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7701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кг,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валовой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надой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6469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Наряду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строительством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активно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практически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всеми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животноводческими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хозяйствами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ведутся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сложные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капитальные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ремонтные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работы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действующих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фермах,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приобретается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устанавливается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животноводческое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оборудование.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Всего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построено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реконструировано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11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ферм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1250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скотомест.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построены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следующие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объекты: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животноводческое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помещение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120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Красносамарское;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семейная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ферма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270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поселке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Энергия;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животноводческое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помещение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поселке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Кинельский;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помещение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2000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овец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ООО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«Степь»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поселке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Формальный;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склад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кормов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кормоцех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Сколково;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склады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кормов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кормоцеха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поселке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Кинельский;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зерносклады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ООО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Компания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«БИО-ТОН»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тонн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Малая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Малышевка</w:t>
      </w:r>
      <w:proofErr w:type="spellEnd"/>
      <w:r w:rsidRPr="0006784C">
        <w:rPr>
          <w:bCs/>
          <w:color w:val="000000" w:themeColor="text1"/>
          <w:spacing w:val="2"/>
          <w:sz w:val="28"/>
          <w:szCs w:val="28"/>
        </w:rPr>
        <w:t>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ООО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«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Парфеновское</w:t>
      </w:r>
      <w:proofErr w:type="spellEnd"/>
      <w:r w:rsidRPr="0006784C">
        <w:rPr>
          <w:bCs/>
          <w:color w:val="000000" w:themeColor="text1"/>
          <w:spacing w:val="2"/>
          <w:sz w:val="28"/>
          <w:szCs w:val="28"/>
        </w:rPr>
        <w:t>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тонн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Парфеновка</w:t>
      </w:r>
      <w:proofErr w:type="spellEnd"/>
      <w:r w:rsidRPr="0006784C">
        <w:rPr>
          <w:bCs/>
          <w:color w:val="000000" w:themeColor="text1"/>
          <w:spacing w:val="2"/>
          <w:sz w:val="28"/>
          <w:szCs w:val="28"/>
        </w:rPr>
        <w:t>,</w:t>
      </w:r>
    </w:p>
    <w:p w:rsidR="00653A6D" w:rsidRPr="0006784C" w:rsidRDefault="00653A6D" w:rsidP="00653A6D">
      <w:pPr>
        <w:spacing w:line="360" w:lineRule="auto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ИП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Печниковым</w:t>
      </w:r>
      <w:proofErr w:type="spellEnd"/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тонн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Богдановка;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зерноочистительный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комплекс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мощностью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150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т/час,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зерносушилка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мощностью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30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т/час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ООО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«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Парфеновское</w:t>
      </w:r>
      <w:proofErr w:type="spellEnd"/>
      <w:r w:rsidRPr="0006784C">
        <w:rPr>
          <w:bCs/>
          <w:color w:val="000000" w:themeColor="text1"/>
          <w:spacing w:val="2"/>
          <w:sz w:val="28"/>
          <w:szCs w:val="28"/>
        </w:rPr>
        <w:t>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Парфеновка</w:t>
      </w:r>
      <w:proofErr w:type="spellEnd"/>
      <w:r w:rsidRPr="0006784C">
        <w:rPr>
          <w:bCs/>
          <w:color w:val="000000" w:themeColor="text1"/>
          <w:spacing w:val="2"/>
          <w:sz w:val="28"/>
          <w:szCs w:val="28"/>
        </w:rPr>
        <w:t>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зерноочистительный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комплекс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мощностью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100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т/час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«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Артемово</w:t>
      </w:r>
      <w:proofErr w:type="spellEnd"/>
      <w:r w:rsidRPr="0006784C">
        <w:rPr>
          <w:bCs/>
          <w:color w:val="000000" w:themeColor="text1"/>
          <w:spacing w:val="2"/>
          <w:sz w:val="28"/>
          <w:szCs w:val="28"/>
        </w:rPr>
        <w:t>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Парфеновка</w:t>
      </w:r>
      <w:proofErr w:type="spellEnd"/>
      <w:r w:rsidRPr="0006784C">
        <w:rPr>
          <w:bCs/>
          <w:color w:val="000000" w:themeColor="text1"/>
          <w:spacing w:val="2"/>
          <w:sz w:val="28"/>
          <w:szCs w:val="28"/>
        </w:rPr>
        <w:t>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реконструированы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объекты: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животноводческое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помещение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120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поселке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Кинельский;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lastRenderedPageBreak/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помещения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1000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</w:t>
      </w:r>
      <w:r w:rsidRPr="0006784C">
        <w:rPr>
          <w:bCs/>
          <w:color w:val="000000" w:themeColor="text1"/>
          <w:spacing w:val="2"/>
          <w:sz w:val="28"/>
          <w:szCs w:val="28"/>
          <w:vertAlign w:val="superscript"/>
        </w:rPr>
        <w:t>2</w:t>
      </w:r>
      <w:r>
        <w:rPr>
          <w:bCs/>
          <w:color w:val="000000" w:themeColor="text1"/>
          <w:spacing w:val="2"/>
          <w:sz w:val="28"/>
          <w:szCs w:val="28"/>
          <w:vertAlign w:val="superscript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для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размещения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коз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родильного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отделения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для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Сколково;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ферма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СПК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(к-з)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им.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Калягина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Новый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Сарбай;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животноводческое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помещение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поселке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Бугры;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административное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здание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ремонтные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мастерские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ООО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«Компания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«БИО-ТОН»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СП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Малая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Малышевка.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Важным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звеном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животноводстве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является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организация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селекционно-племенной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работы.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2009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действует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племрепродуктор</w:t>
      </w:r>
      <w:proofErr w:type="spellEnd"/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—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СПК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(к-з)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им.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Куйбышева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разведению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черно-пестрой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породы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скота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молочного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направления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продуктивности,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еще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двум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предприятиям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муниципального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Кинельский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присвоен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статус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племенного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репродуктора.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организации,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занимающиеся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племенным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животноводством,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ООО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«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Агроком</w:t>
      </w:r>
      <w:proofErr w:type="spellEnd"/>
      <w:r w:rsidRPr="0006784C">
        <w:rPr>
          <w:bCs/>
          <w:color w:val="000000" w:themeColor="text1"/>
          <w:spacing w:val="2"/>
          <w:sz w:val="28"/>
          <w:szCs w:val="28"/>
        </w:rPr>
        <w:t>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—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разведению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мясного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направления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абердин-ангусской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породы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ООО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«Центр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репродуктивных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технологий».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Новый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статус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Центра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наделяет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его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всеми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возможностями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полноценной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лаборатории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трансплантации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эмбрионов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сельскохозяйственных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животных.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Санкционный</w:t>
      </w:r>
      <w:proofErr w:type="spellEnd"/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период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время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больших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возможностей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для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малого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сельскохозяйственного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бизнеса.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Сегодня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муниципальный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Кинельский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один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из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участников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программы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предоставлению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грантов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создание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развитие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крестьянских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(фермерских)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хозяйств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развитие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семейных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животноводческих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ферм.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рамках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реализации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мероприятий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поддержке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начинающих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фермеров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семейных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животноводческих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ферм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региональную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поддержку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виде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грантов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Кинельском</w:t>
      </w:r>
      <w:proofErr w:type="spellEnd"/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получили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начинающих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фермерских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хозяйства,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числе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семейные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фермы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(молочная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мясная)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начинающих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фермера.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Общая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сумма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полученных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средств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составила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22,8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млн.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рублей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(общая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сумма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привлеченных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средств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лет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действия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программы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составляет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70,5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млн</w:t>
      </w:r>
      <w:r>
        <w:rPr>
          <w:bCs/>
          <w:color w:val="000000" w:themeColor="text1"/>
          <w:spacing w:val="2"/>
          <w:sz w:val="28"/>
          <w:szCs w:val="28"/>
        </w:rPr>
        <w:t xml:space="preserve">. </w:t>
      </w:r>
      <w:r w:rsidRPr="0006784C">
        <w:rPr>
          <w:bCs/>
          <w:color w:val="000000" w:themeColor="text1"/>
          <w:spacing w:val="2"/>
          <w:sz w:val="28"/>
          <w:szCs w:val="28"/>
        </w:rPr>
        <w:t>рублей).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реальная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возможность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развития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частного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бизнеса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поселениях.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Согласно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проектам,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lastRenderedPageBreak/>
        <w:t>денежные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средства,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полученные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были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направлены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приобретение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229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нетелей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молочных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мясных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пород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строительство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молочно-товарной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фермы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110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голов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доильным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молочным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блоком,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что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позволяет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создавать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дополнительные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рабочие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места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районе.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Результатом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реализации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программы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поддержки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стал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рост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числа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фермерских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хозяйств,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специализирующихся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производстве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продукции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животноводства.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(начало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действия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Программы)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количество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увеличилось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40.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06784C">
        <w:rPr>
          <w:bCs/>
          <w:color w:val="000000" w:themeColor="text1"/>
          <w:spacing w:val="2"/>
          <w:sz w:val="28"/>
          <w:szCs w:val="28"/>
        </w:rPr>
        <w:t>Грантовую</w:t>
      </w:r>
      <w:proofErr w:type="spellEnd"/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поддержку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получили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18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КФХ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из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40,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что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составляет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45%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общего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количества.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Малые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формы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хозяйствования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(КФХ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ЛПХ)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вносят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ощутимый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вклад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развитие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агропромышленного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комплекса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муниципального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района.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произведено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5,77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молока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(28,1%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общего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количества)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7,2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тыс.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мяса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(52%).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Финансовая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поддержка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предприятий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АПК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района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рамках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реализации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мероприятий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государственной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программы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развития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хозяйства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регулирования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рынков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сельскохозяйственной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продукции,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сырья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продовольствия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2013-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2020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составила: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–156,8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млн</w:t>
      </w:r>
      <w:r>
        <w:rPr>
          <w:bCs/>
          <w:color w:val="000000" w:themeColor="text1"/>
          <w:spacing w:val="2"/>
          <w:sz w:val="28"/>
          <w:szCs w:val="28"/>
        </w:rPr>
        <w:t xml:space="preserve">. </w:t>
      </w:r>
      <w:r w:rsidRPr="0006784C">
        <w:rPr>
          <w:bCs/>
          <w:color w:val="000000" w:themeColor="text1"/>
          <w:spacing w:val="2"/>
          <w:sz w:val="28"/>
          <w:szCs w:val="28"/>
        </w:rPr>
        <w:t>руб.,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183,2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млн</w:t>
      </w:r>
      <w:r>
        <w:rPr>
          <w:bCs/>
          <w:color w:val="000000" w:themeColor="text1"/>
          <w:spacing w:val="2"/>
          <w:sz w:val="28"/>
          <w:szCs w:val="28"/>
        </w:rPr>
        <w:t xml:space="preserve">. </w:t>
      </w:r>
      <w:r w:rsidRPr="0006784C">
        <w:rPr>
          <w:bCs/>
          <w:color w:val="000000" w:themeColor="text1"/>
          <w:spacing w:val="2"/>
          <w:sz w:val="28"/>
          <w:szCs w:val="28"/>
        </w:rPr>
        <w:t>руб.,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г.–169,4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млн</w:t>
      </w:r>
      <w:r>
        <w:rPr>
          <w:bCs/>
          <w:color w:val="000000" w:themeColor="text1"/>
          <w:spacing w:val="2"/>
          <w:sz w:val="28"/>
          <w:szCs w:val="28"/>
        </w:rPr>
        <w:t xml:space="preserve">. </w:t>
      </w:r>
      <w:r w:rsidRPr="0006784C">
        <w:rPr>
          <w:bCs/>
          <w:color w:val="000000" w:themeColor="text1"/>
          <w:spacing w:val="2"/>
          <w:sz w:val="28"/>
          <w:szCs w:val="28"/>
        </w:rPr>
        <w:t>руб.,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2017г.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около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190,3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млн</w:t>
      </w:r>
      <w:r>
        <w:rPr>
          <w:bCs/>
          <w:color w:val="000000" w:themeColor="text1"/>
          <w:spacing w:val="2"/>
          <w:sz w:val="28"/>
          <w:szCs w:val="28"/>
        </w:rPr>
        <w:t xml:space="preserve">. </w:t>
      </w:r>
      <w:r w:rsidRPr="0006784C">
        <w:rPr>
          <w:bCs/>
          <w:color w:val="000000" w:themeColor="text1"/>
          <w:spacing w:val="2"/>
          <w:sz w:val="28"/>
          <w:szCs w:val="28"/>
        </w:rPr>
        <w:t>руб.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Инвестирование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государства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хозяйство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дает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возможность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технического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перевооружения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производств,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приобретения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новой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техники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оборудования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(Приложение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табл.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13),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решать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накопившиеся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годами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насущные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проблемы.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pacing w:val="2"/>
          <w:sz w:val="28"/>
          <w:szCs w:val="28"/>
        </w:rPr>
      </w:pPr>
      <w:r w:rsidRPr="0006784C">
        <w:rPr>
          <w:bCs/>
          <w:color w:val="000000" w:themeColor="text1"/>
          <w:spacing w:val="2"/>
          <w:sz w:val="28"/>
          <w:szCs w:val="28"/>
        </w:rPr>
        <w:t>Используя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господдержку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собственные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ресурсы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сельскохозяйственные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предприятия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последние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годы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активно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приобретают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новую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технику.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Тракторов,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комбайнов,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кормоуборочных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комплексов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прицепных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орудий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приобретено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сумму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634,5млн</w:t>
      </w:r>
      <w:r>
        <w:rPr>
          <w:bCs/>
          <w:color w:val="000000" w:themeColor="text1"/>
          <w:spacing w:val="2"/>
          <w:sz w:val="28"/>
          <w:szCs w:val="28"/>
        </w:rPr>
        <w:t xml:space="preserve">. </w:t>
      </w:r>
      <w:r w:rsidRPr="0006784C">
        <w:rPr>
          <w:bCs/>
          <w:color w:val="000000" w:themeColor="text1"/>
          <w:spacing w:val="2"/>
          <w:sz w:val="28"/>
          <w:szCs w:val="28"/>
        </w:rPr>
        <w:t>рублей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(в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269</w:t>
      </w:r>
      <w:r>
        <w:rPr>
          <w:bCs/>
          <w:color w:val="000000" w:themeColor="text1"/>
          <w:spacing w:val="2"/>
          <w:sz w:val="28"/>
          <w:szCs w:val="28"/>
        </w:rPr>
        <w:t xml:space="preserve"> млн. руб.</w:t>
      </w:r>
      <w:r w:rsidRPr="0006784C">
        <w:rPr>
          <w:bCs/>
          <w:color w:val="000000" w:themeColor="text1"/>
          <w:spacing w:val="2"/>
          <w:sz w:val="28"/>
          <w:szCs w:val="28"/>
        </w:rPr>
        <w:t>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135,5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млн</w:t>
      </w:r>
      <w:r>
        <w:rPr>
          <w:bCs/>
          <w:color w:val="000000" w:themeColor="text1"/>
          <w:spacing w:val="2"/>
          <w:sz w:val="28"/>
          <w:szCs w:val="28"/>
        </w:rPr>
        <w:t xml:space="preserve">. </w:t>
      </w:r>
      <w:r w:rsidRPr="0006784C">
        <w:rPr>
          <w:bCs/>
          <w:color w:val="000000" w:themeColor="text1"/>
          <w:spacing w:val="2"/>
          <w:sz w:val="28"/>
          <w:szCs w:val="28"/>
        </w:rPr>
        <w:t>руб.,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году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–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230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млн</w:t>
      </w:r>
      <w:r>
        <w:rPr>
          <w:bCs/>
          <w:color w:val="000000" w:themeColor="text1"/>
          <w:spacing w:val="2"/>
          <w:sz w:val="28"/>
          <w:szCs w:val="28"/>
        </w:rPr>
        <w:t xml:space="preserve">. </w:t>
      </w:r>
      <w:r w:rsidRPr="0006784C">
        <w:rPr>
          <w:bCs/>
          <w:color w:val="000000" w:themeColor="text1"/>
          <w:spacing w:val="2"/>
          <w:sz w:val="28"/>
          <w:szCs w:val="28"/>
        </w:rPr>
        <w:t>руб.).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2017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г.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приобретена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33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единицы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самоходной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техники,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том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числе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24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трактора,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8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зерноуборочных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комбайнов,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1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кормоуборочный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lastRenderedPageBreak/>
        <w:t>комбайн,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93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единицы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прицепного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98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единиц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навесного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оборудования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общую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сумму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256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млн</w:t>
      </w:r>
      <w:r>
        <w:rPr>
          <w:bCs/>
          <w:color w:val="000000" w:themeColor="text1"/>
          <w:spacing w:val="2"/>
          <w:sz w:val="28"/>
          <w:szCs w:val="28"/>
        </w:rPr>
        <w:t xml:space="preserve">. </w:t>
      </w:r>
      <w:r w:rsidRPr="0006784C">
        <w:rPr>
          <w:bCs/>
          <w:color w:val="000000" w:themeColor="text1"/>
          <w:spacing w:val="2"/>
          <w:sz w:val="28"/>
          <w:szCs w:val="28"/>
        </w:rPr>
        <w:t>руб.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этого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явно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недостаточно.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Необходимо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более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активно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проводить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обновление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машинотракторного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парка,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используя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все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имеющиеся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инструменты,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включая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собственные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ресурсы,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лизинг,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кредитные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средства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и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06784C">
        <w:rPr>
          <w:bCs/>
          <w:color w:val="000000" w:themeColor="text1"/>
          <w:spacing w:val="2"/>
          <w:sz w:val="28"/>
          <w:szCs w:val="28"/>
        </w:rPr>
        <w:t>т.д.</w:t>
      </w:r>
    </w:p>
    <w:p w:rsidR="00653A6D" w:rsidRPr="0006784C" w:rsidRDefault="00653A6D" w:rsidP="00653A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Как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видно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рис.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1.15,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начиная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2013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включительно</w:t>
      </w:r>
      <w:r>
        <w:rPr>
          <w:color w:val="000000" w:themeColor="text1"/>
          <w:sz w:val="28"/>
          <w:szCs w:val="28"/>
        </w:rPr>
        <w:t xml:space="preserve">, </w:t>
      </w:r>
      <w:r w:rsidRPr="0006784C">
        <w:rPr>
          <w:color w:val="000000" w:themeColor="text1"/>
          <w:sz w:val="28"/>
          <w:szCs w:val="28"/>
        </w:rPr>
        <w:t>наблюдается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увеличение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инвестиций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капитал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крупным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средним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предприятиям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Причем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преобладающая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часть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инвестиции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отечественных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хозяйствующих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субъектов,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направляемых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район.</w:t>
      </w:r>
      <w:r>
        <w:rPr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jc w:val="center"/>
        <w:rPr>
          <w:sz w:val="28"/>
          <w:szCs w:val="28"/>
        </w:rPr>
      </w:pPr>
      <w:r w:rsidRPr="0006784C">
        <w:rPr>
          <w:noProof/>
          <w:sz w:val="28"/>
          <w:szCs w:val="28"/>
        </w:rPr>
        <w:drawing>
          <wp:inline distT="0" distB="0" distL="0" distR="0">
            <wp:extent cx="5219700" cy="3800475"/>
            <wp:effectExtent l="0" t="0" r="19050" b="9525"/>
            <wp:docPr id="5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53A6D" w:rsidRPr="00F1082C" w:rsidRDefault="00653A6D" w:rsidP="00653A6D">
      <w:pPr>
        <w:jc w:val="center"/>
        <w:rPr>
          <w:color w:val="000000" w:themeColor="text1"/>
          <w:sz w:val="24"/>
          <w:szCs w:val="28"/>
        </w:rPr>
      </w:pPr>
      <w:r w:rsidRPr="00F1082C">
        <w:rPr>
          <w:color w:val="000000" w:themeColor="text1"/>
          <w:sz w:val="24"/>
          <w:szCs w:val="28"/>
        </w:rPr>
        <w:t>Рисунок 1.15 - Инвестиции в основной капитал по крупным и средним   предприятиям, млн. руб.</w:t>
      </w:r>
    </w:p>
    <w:p w:rsidR="00653A6D" w:rsidRPr="0006784C" w:rsidRDefault="00653A6D" w:rsidP="00653A6D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период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2008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ежегодный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инвестиций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увеличился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раза.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году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произошел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существенный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спад,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инвестиции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сократились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более,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чем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раза,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составив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2,6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млрд</w:t>
      </w:r>
      <w:r>
        <w:rPr>
          <w:color w:val="000000" w:themeColor="text1"/>
          <w:sz w:val="28"/>
          <w:szCs w:val="28"/>
        </w:rPr>
        <w:t xml:space="preserve">. </w:t>
      </w:r>
      <w:r w:rsidRPr="0006784C">
        <w:rPr>
          <w:color w:val="000000" w:themeColor="text1"/>
          <w:sz w:val="28"/>
          <w:szCs w:val="28"/>
        </w:rPr>
        <w:t>руб.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(43%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г.).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Это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составило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1,7%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общего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места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всех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общему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среднедушевому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lastRenderedPageBreak/>
        <w:t>объемам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соответственно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(Приложение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табл.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14);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июне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1649,6</w:t>
      </w:r>
      <w:r>
        <w:rPr>
          <w:sz w:val="28"/>
          <w:szCs w:val="28"/>
        </w:rPr>
        <w:t xml:space="preserve"> млн. руб. </w:t>
      </w:r>
      <w:r w:rsidRPr="0006784C">
        <w:rPr>
          <w:sz w:val="28"/>
          <w:szCs w:val="28"/>
        </w:rPr>
        <w:t>(175,0%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соответствующему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периоду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2,2%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общему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среднедушевому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объемам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соответственно).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снижение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инвестиций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наибольшей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степени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повлияло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сокращение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капиталовложений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таких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значимых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видах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экономической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деятельности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как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добыча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полезных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ископаемых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транспортировка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нефтепродуктов.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Негативное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влияние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на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развитие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инвестиционной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деятельности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муниципального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района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оказывает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удорожание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кредитных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ресурсов,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рост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цен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в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инфраструктурном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секторе,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ограничение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государственного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pacing w:val="-2"/>
          <w:sz w:val="28"/>
          <w:szCs w:val="28"/>
        </w:rPr>
        <w:t>спроса.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Основные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инвестиций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направлены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развитие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транспорта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(66,8%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2017 г.) и нефтедобычи (74,6%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январе-июне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2018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г.).</w:t>
      </w:r>
    </w:p>
    <w:p w:rsidR="00653A6D" w:rsidRPr="0006784C" w:rsidRDefault="00653A6D" w:rsidP="00653A6D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«Пионер»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реализует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проект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строительству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предприятия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переработке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мяса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птицы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комплексом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откорму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бычков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мясо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торговой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марки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</w:t>
      </w:r>
      <w:proofErr w:type="spellStart"/>
      <w:r w:rsidRPr="0006784C">
        <w:rPr>
          <w:color w:val="000000" w:themeColor="text1"/>
          <w:sz w:val="28"/>
          <w:szCs w:val="28"/>
        </w:rPr>
        <w:t>Альдебаран</w:t>
      </w:r>
      <w:proofErr w:type="spellEnd"/>
      <w:r w:rsidRPr="0006784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(1600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голов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год).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инвестиций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498</w:t>
      </w:r>
      <w:r>
        <w:rPr>
          <w:color w:val="000000" w:themeColor="text1"/>
          <w:sz w:val="28"/>
          <w:szCs w:val="28"/>
        </w:rPr>
        <w:t xml:space="preserve"> млн. руб. </w:t>
      </w:r>
      <w:r w:rsidRPr="0006784C">
        <w:rPr>
          <w:color w:val="000000" w:themeColor="text1"/>
          <w:sz w:val="28"/>
          <w:szCs w:val="28"/>
        </w:rPr>
        <w:t>Производство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говядины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собственного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составит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416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год.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Планируемый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мясу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птицы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3120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год,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мясных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деликатесов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3120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год.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сегодняшний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день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инициатор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проекта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столкнулся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проблемой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подключению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коллектору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«МСНК».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информации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руководства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«МСНК»,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отсутствуют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необходимые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мощности.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6784C">
        <w:rPr>
          <w:rFonts w:eastAsia="Calibri"/>
          <w:color w:val="000000" w:themeColor="text1"/>
          <w:sz w:val="28"/>
          <w:szCs w:val="28"/>
        </w:rPr>
        <w:t>Знаковым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событием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стало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завершение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строительства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первой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очереди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фабрики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производству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пищевых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грибов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грибной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продукции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ООО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«НПО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06784C">
        <w:rPr>
          <w:rFonts w:eastAsia="Calibri"/>
          <w:color w:val="000000" w:themeColor="text1"/>
          <w:sz w:val="28"/>
          <w:szCs w:val="28"/>
        </w:rPr>
        <w:t>Биогрин</w:t>
      </w:r>
      <w:proofErr w:type="spellEnd"/>
      <w:r w:rsidRPr="0006784C">
        <w:rPr>
          <w:rFonts w:eastAsia="Calibri"/>
          <w:color w:val="000000" w:themeColor="text1"/>
          <w:sz w:val="28"/>
          <w:szCs w:val="28"/>
        </w:rPr>
        <w:t>».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Стоимость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1-й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очереди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600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млн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рублей.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Планируемая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производственная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мощность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выращивания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–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7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грибов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сутки.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сельском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поселении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Малая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Малышевка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оформлен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земельный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участок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проведены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работы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подготовке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коммуникаций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строительство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комплекса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выращиванию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шампиньонов.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Инвестором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данного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проекта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группа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компаний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</w:t>
      </w:r>
      <w:proofErr w:type="spellStart"/>
      <w:r w:rsidRPr="0006784C">
        <w:rPr>
          <w:color w:val="000000" w:themeColor="text1"/>
          <w:sz w:val="28"/>
          <w:szCs w:val="28"/>
        </w:rPr>
        <w:t>Орикс</w:t>
      </w:r>
      <w:proofErr w:type="spellEnd"/>
      <w:r w:rsidRPr="0006784C">
        <w:rPr>
          <w:color w:val="000000" w:themeColor="text1"/>
          <w:sz w:val="28"/>
          <w:szCs w:val="28"/>
        </w:rPr>
        <w:t>».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Инвестиционный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проект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«Строительство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комплекса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промышленному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выращиванию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переработке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lastRenderedPageBreak/>
        <w:t>гриба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шампиньон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компосте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собственного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производства»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начал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реализовываться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На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новом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производстве,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отличие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от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действующего,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предусматривается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использование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более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современной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технологии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выращивания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грибов,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широко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применяющейся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Голландии,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Польше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других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европейских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странах.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Оно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будет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состоять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из: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6784C">
        <w:rPr>
          <w:rFonts w:eastAsia="Calibri"/>
          <w:color w:val="000000" w:themeColor="text1"/>
          <w:sz w:val="28"/>
          <w:szCs w:val="28"/>
        </w:rPr>
        <w:t>-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компостного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завода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производительностью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80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тысяч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тонн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год;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6784C">
        <w:rPr>
          <w:rFonts w:eastAsia="Calibri"/>
          <w:color w:val="000000" w:themeColor="text1"/>
          <w:sz w:val="28"/>
          <w:szCs w:val="28"/>
        </w:rPr>
        <w:t>-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грибного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комплекса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общей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площадью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выращиванию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закрытом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грунте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74,1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тыс.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кв.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м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производительностью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24,9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тыс.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шампиньонов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год;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6784C">
        <w:rPr>
          <w:rFonts w:eastAsia="Calibri"/>
          <w:color w:val="000000" w:themeColor="text1"/>
          <w:sz w:val="28"/>
          <w:szCs w:val="28"/>
        </w:rPr>
        <w:t>-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производства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выращиванию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гриба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06784C">
        <w:rPr>
          <w:rFonts w:eastAsia="Calibri"/>
          <w:color w:val="000000" w:themeColor="text1"/>
          <w:sz w:val="28"/>
          <w:szCs w:val="28"/>
        </w:rPr>
        <w:t>вешенки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применением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стерильных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баночных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технологий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производительностью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1,4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тыс.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тонн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год;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6784C">
        <w:rPr>
          <w:rFonts w:eastAsia="Calibri"/>
          <w:color w:val="000000" w:themeColor="text1"/>
          <w:sz w:val="28"/>
          <w:szCs w:val="28"/>
        </w:rPr>
        <w:t>-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производства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покровной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почвы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–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35,6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тыс.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тонн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год;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6784C">
        <w:rPr>
          <w:rFonts w:eastAsia="Calibri"/>
          <w:color w:val="000000" w:themeColor="text1"/>
          <w:sz w:val="28"/>
          <w:szCs w:val="28"/>
        </w:rPr>
        <w:t>-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производства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пластиковой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тары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–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8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млн</w:t>
      </w:r>
      <w:r>
        <w:rPr>
          <w:rFonts w:eastAsia="Calibri"/>
          <w:color w:val="000000" w:themeColor="text1"/>
          <w:sz w:val="28"/>
          <w:szCs w:val="28"/>
        </w:rPr>
        <w:t xml:space="preserve">. </w:t>
      </w:r>
      <w:r w:rsidRPr="0006784C">
        <w:rPr>
          <w:rFonts w:eastAsia="Calibri"/>
          <w:color w:val="000000" w:themeColor="text1"/>
          <w:sz w:val="28"/>
          <w:szCs w:val="28"/>
        </w:rPr>
        <w:t>штук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год;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6784C">
        <w:rPr>
          <w:rFonts w:eastAsia="Calibri"/>
          <w:color w:val="000000" w:themeColor="text1"/>
          <w:sz w:val="28"/>
          <w:szCs w:val="28"/>
        </w:rPr>
        <w:t>-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цеха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заморозки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продукции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–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2,5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тыс.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тонн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год;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6784C">
        <w:rPr>
          <w:rFonts w:eastAsia="Calibri"/>
          <w:color w:val="000000" w:themeColor="text1"/>
          <w:sz w:val="28"/>
          <w:szCs w:val="28"/>
        </w:rPr>
        <w:t>-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логистического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центра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объектов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инженерной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инфраструктуры.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6784C">
        <w:rPr>
          <w:rFonts w:eastAsia="Calibri"/>
          <w:color w:val="000000" w:themeColor="text1"/>
          <w:sz w:val="28"/>
          <w:szCs w:val="28"/>
        </w:rPr>
        <w:t>Новые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это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повышение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продовольственной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безопасности,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новые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рабочие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места,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</w:t>
      </w:r>
      <w:r w:rsidRPr="0006784C">
        <w:rPr>
          <w:color w:val="000000" w:themeColor="text1"/>
          <w:sz w:val="28"/>
          <w:szCs w:val="28"/>
        </w:rPr>
        <w:t>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конечно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же</w:t>
      </w:r>
      <w:r w:rsidRPr="0006784C">
        <w:rPr>
          <w:color w:val="000000" w:themeColor="text1"/>
          <w:sz w:val="28"/>
          <w:szCs w:val="28"/>
        </w:rPr>
        <w:t>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налоговые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поступления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бюджет.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6784C">
        <w:rPr>
          <w:rFonts w:eastAsia="Calibri"/>
          <w:color w:val="000000" w:themeColor="text1"/>
          <w:sz w:val="28"/>
          <w:szCs w:val="28"/>
        </w:rPr>
        <w:t>Подводя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итог,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можно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отметить,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что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муниципальный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район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Кинельский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наращивает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объемы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производства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продукции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растениеводства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животноводства,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что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многом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связано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активным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инвестированием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АПК.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то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же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время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ситуация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пищевыми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перерабатывающими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производствами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ухудшилась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за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счет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осложнения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условий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хозяйствования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наиболее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крупных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предприятий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района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-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ЗАО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«Самарские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мельницы»,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ООО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«</w:t>
      </w:r>
      <w:proofErr w:type="spellStart"/>
      <w:r w:rsidRPr="0006784C">
        <w:rPr>
          <w:rFonts w:eastAsia="Calibri"/>
          <w:color w:val="000000" w:themeColor="text1"/>
          <w:sz w:val="28"/>
          <w:szCs w:val="28"/>
        </w:rPr>
        <w:t>Целер</w:t>
      </w:r>
      <w:proofErr w:type="spellEnd"/>
      <w:r w:rsidRPr="0006784C">
        <w:rPr>
          <w:rFonts w:eastAsia="Calibri"/>
          <w:color w:val="000000" w:themeColor="text1"/>
          <w:sz w:val="28"/>
          <w:szCs w:val="28"/>
        </w:rPr>
        <w:t>»,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Филиала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ОАО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ПВК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«Балтика»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-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«Балтика-Самара»,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СЗ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«Электрощит»,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частично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свернувших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свою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деятельность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06784C">
        <w:rPr>
          <w:rFonts w:eastAsia="Calibri"/>
          <w:color w:val="000000" w:themeColor="text1"/>
          <w:sz w:val="28"/>
          <w:szCs w:val="28"/>
        </w:rPr>
        <w:t>районе.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653A6D" w:rsidRDefault="00653A6D" w:rsidP="00653A6D">
      <w:pPr>
        <w:widowControl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6784C">
        <w:rPr>
          <w:bCs/>
          <w:color w:val="000000" w:themeColor="text1"/>
          <w:sz w:val="28"/>
          <w:szCs w:val="28"/>
        </w:rPr>
        <w:t>Формирование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рынка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жилья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одна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из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основных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задач,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стоящих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перед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администрацией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района.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Благодаря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активной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работе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с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инвесторами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муниципальный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район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Кинельский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продолжает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прирастать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новыми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объектами.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653A6D" w:rsidRDefault="00653A6D" w:rsidP="00653A6D">
      <w:pPr>
        <w:spacing w:line="360" w:lineRule="auto"/>
        <w:jc w:val="center"/>
        <w:rPr>
          <w:bCs/>
          <w:color w:val="000000" w:themeColor="text1"/>
          <w:sz w:val="28"/>
          <w:szCs w:val="28"/>
        </w:rPr>
      </w:pPr>
      <w:r w:rsidRPr="0006784C">
        <w:rPr>
          <w:bCs/>
          <w:color w:val="000000" w:themeColor="text1"/>
          <w:sz w:val="28"/>
          <w:szCs w:val="28"/>
        </w:rPr>
        <w:lastRenderedPageBreak/>
        <w:t>Динамика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показателей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строительства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жилья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85"/>
        <w:gridCol w:w="696"/>
        <w:gridCol w:w="696"/>
        <w:gridCol w:w="876"/>
        <w:gridCol w:w="697"/>
        <w:gridCol w:w="877"/>
        <w:gridCol w:w="816"/>
        <w:gridCol w:w="816"/>
        <w:gridCol w:w="816"/>
        <w:gridCol w:w="996"/>
      </w:tblGrid>
      <w:tr w:rsidR="00653A6D" w:rsidRPr="0006784C" w:rsidTr="00653A6D">
        <w:trPr>
          <w:trHeight w:val="300"/>
          <w:tblHeader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2016</w:t>
            </w:r>
          </w:p>
        </w:tc>
      </w:tr>
      <w:tr w:rsidR="00653A6D" w:rsidRPr="0006784C" w:rsidTr="00653A6D">
        <w:trPr>
          <w:trHeight w:val="120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Введено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действие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индивидуальных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жилых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домов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на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территории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муниципального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образования,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квадратный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метр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общей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площади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9783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5404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6662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9021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7961,3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11014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13776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11187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21927</w:t>
            </w:r>
          </w:p>
        </w:tc>
      </w:tr>
      <w:tr w:rsidR="00653A6D" w:rsidRPr="0006784C" w:rsidTr="00653A6D">
        <w:trPr>
          <w:trHeight w:val="90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rPr>
                <w:color w:val="000000" w:themeColor="text1"/>
              </w:rPr>
            </w:pPr>
            <w:r w:rsidRPr="0006784C">
              <w:rPr>
                <w:color w:val="000000" w:themeColor="text1"/>
              </w:rPr>
              <w:t>Введено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действие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жилых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домов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на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территории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муниципального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образования,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квадратный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метр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общей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площади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9783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7167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8230,7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9021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9038,1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11014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15032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17679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24295,7</w:t>
            </w:r>
          </w:p>
        </w:tc>
      </w:tr>
      <w:tr w:rsidR="00653A6D" w:rsidRPr="0006784C" w:rsidTr="00653A6D">
        <w:trPr>
          <w:trHeight w:val="90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rPr>
                <w:color w:val="000000" w:themeColor="text1"/>
              </w:rPr>
            </w:pPr>
            <w:r w:rsidRPr="0006784C">
              <w:rPr>
                <w:color w:val="000000" w:themeColor="text1"/>
              </w:rPr>
              <w:t>Число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семей,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состоящих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на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учете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качестве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нуждающихся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жилых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помещениях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на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конец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года,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единица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482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463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466</w:t>
            </w:r>
          </w:p>
        </w:tc>
      </w:tr>
      <w:tr w:rsidR="00653A6D" w:rsidRPr="0006784C" w:rsidTr="00653A6D">
        <w:trPr>
          <w:trHeight w:val="90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A6D" w:rsidRPr="0006784C" w:rsidRDefault="00653A6D" w:rsidP="00653A6D">
            <w:pPr>
              <w:rPr>
                <w:color w:val="000000" w:themeColor="text1"/>
              </w:rPr>
            </w:pPr>
            <w:r w:rsidRPr="0006784C">
              <w:rPr>
                <w:color w:val="000000" w:themeColor="text1"/>
              </w:rPr>
              <w:t>Число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семей,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получивших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жилые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помещения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улучшивших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жилищные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условия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отчетном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году,</w:t>
            </w:r>
            <w:r>
              <w:rPr>
                <w:color w:val="000000" w:themeColor="text1"/>
              </w:rPr>
              <w:t xml:space="preserve"> </w:t>
            </w:r>
            <w:r w:rsidRPr="0006784C">
              <w:rPr>
                <w:color w:val="000000" w:themeColor="text1"/>
              </w:rPr>
              <w:t>единица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A6D" w:rsidRPr="0006784C" w:rsidRDefault="00653A6D" w:rsidP="00653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784C"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</w:tbl>
    <w:p w:rsidR="00653A6D" w:rsidRPr="0006784C" w:rsidRDefault="00653A6D" w:rsidP="00653A6D">
      <w:pPr>
        <w:widowControl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653A6D" w:rsidRPr="0006784C" w:rsidRDefault="00653A6D" w:rsidP="00653A6D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Так,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объемы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жилищного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строительства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стали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рекордными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превысили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контрольную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планку,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поставленную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перед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муниципалитетом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губернией.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январе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декабре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2016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территории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Кинельского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введено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эксплуатацию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24295,7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кв.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жилья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(137,4%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соответствующему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периоду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2015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г.).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784C">
        <w:rPr>
          <w:color w:val="000000" w:themeColor="text1"/>
          <w:sz w:val="28"/>
          <w:szCs w:val="28"/>
        </w:rPr>
        <w:t>Муниципалитет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активно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участвует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федеральных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региональных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жилищных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программах.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зоне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особого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внимания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ветераны,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дети-сироты,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молодые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семьи,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многодетные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семьи,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молодые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специалисты.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6784C">
        <w:rPr>
          <w:bCs/>
          <w:color w:val="000000" w:themeColor="text1"/>
          <w:sz w:val="28"/>
          <w:szCs w:val="28"/>
        </w:rPr>
        <w:t>Благодаря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слаженной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своевременной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работе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всех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заинтересованных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структур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подразделений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администрации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муниципального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района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улучшить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свои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жилищные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условия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смогли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различные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категории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6784C">
        <w:rPr>
          <w:bCs/>
          <w:color w:val="000000" w:themeColor="text1"/>
          <w:sz w:val="28"/>
          <w:szCs w:val="28"/>
        </w:rPr>
        <w:t>граждан.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653A6D" w:rsidRDefault="00653A6D"/>
    <w:p w:rsidR="00320EEB" w:rsidRDefault="00320EEB"/>
    <w:p w:rsidR="00320EEB" w:rsidRDefault="00320EEB"/>
    <w:p w:rsidR="00320EEB" w:rsidRDefault="00320EEB"/>
    <w:p w:rsidR="00320EEB" w:rsidRDefault="00320EEB"/>
    <w:p w:rsidR="00320EEB" w:rsidRDefault="00320EEB"/>
    <w:p w:rsidR="00653A6D" w:rsidRPr="0006784C" w:rsidRDefault="00653A6D" w:rsidP="00653A6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1.8. </w:t>
      </w:r>
      <w:r w:rsidRPr="0006784C">
        <w:rPr>
          <w:rFonts w:ascii="Times New Roman" w:hAnsi="Times New Roman" w:cs="Times New Roman"/>
          <w:color w:val="000000" w:themeColor="text1"/>
        </w:rPr>
        <w:t>SWOT-анализ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color w:val="000000" w:themeColor="text1"/>
        </w:rPr>
        <w:t>ситуации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color w:val="000000" w:themeColor="text1"/>
        </w:rPr>
        <w:t>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color w:val="000000" w:themeColor="text1"/>
        </w:rPr>
        <w:t>муниципальном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color w:val="000000" w:themeColor="text1"/>
        </w:rPr>
        <w:t>районе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color w:val="000000" w:themeColor="text1"/>
        </w:rPr>
        <w:t>Кинельский</w:t>
      </w:r>
    </w:p>
    <w:p w:rsidR="00653A6D" w:rsidRPr="008A5692" w:rsidRDefault="00653A6D" w:rsidP="00653A6D">
      <w:pPr>
        <w:spacing w:line="360" w:lineRule="auto"/>
      </w:pPr>
    </w:p>
    <w:p w:rsidR="00653A6D" w:rsidRPr="0006784C" w:rsidRDefault="00653A6D" w:rsidP="00653A6D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06784C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выявления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факторов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внутренней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среды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(</w:t>
      </w:r>
      <w:r w:rsidRPr="0006784C"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+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  <w:lang w:val="en-US"/>
        </w:rPr>
        <w:t>W</w:t>
      </w:r>
      <w:r w:rsidRPr="0006784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воспользуемся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критериями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оценки</w:t>
      </w:r>
      <w:r>
        <w:rPr>
          <w:color w:val="000000"/>
          <w:sz w:val="28"/>
          <w:szCs w:val="28"/>
        </w:rPr>
        <w:t xml:space="preserve"> </w:t>
      </w:r>
      <w:r w:rsidRPr="0006784C">
        <w:rPr>
          <w:color w:val="000000"/>
          <w:sz w:val="28"/>
          <w:szCs w:val="28"/>
        </w:rPr>
        <w:t>факторов</w:t>
      </w:r>
      <w:r>
        <w:rPr>
          <w:color w:val="000000"/>
          <w:sz w:val="28"/>
          <w:szCs w:val="28"/>
        </w:rPr>
        <w:t xml:space="preserve"> </w:t>
      </w:r>
      <w:r w:rsidRPr="0006784C">
        <w:rPr>
          <w:color w:val="000000"/>
          <w:sz w:val="28"/>
          <w:szCs w:val="28"/>
        </w:rPr>
        <w:t>окружающей</w:t>
      </w:r>
      <w:r>
        <w:rPr>
          <w:color w:val="000000"/>
          <w:sz w:val="28"/>
          <w:szCs w:val="28"/>
        </w:rPr>
        <w:t xml:space="preserve"> </w:t>
      </w:r>
      <w:r w:rsidRPr="0006784C">
        <w:rPr>
          <w:color w:val="000000"/>
          <w:sz w:val="28"/>
          <w:szCs w:val="28"/>
        </w:rPr>
        <w:t>среды</w:t>
      </w:r>
      <w:r>
        <w:rPr>
          <w:color w:val="000000"/>
          <w:sz w:val="28"/>
          <w:szCs w:val="28"/>
        </w:rPr>
        <w:t xml:space="preserve"> </w:t>
      </w:r>
      <w:r w:rsidRPr="0006784C">
        <w:rPr>
          <w:color w:val="000000"/>
          <w:sz w:val="28"/>
          <w:szCs w:val="28"/>
        </w:rPr>
        <w:t>региона,</w:t>
      </w:r>
      <w:r>
        <w:rPr>
          <w:color w:val="000000"/>
          <w:sz w:val="28"/>
          <w:szCs w:val="28"/>
        </w:rPr>
        <w:t xml:space="preserve"> </w:t>
      </w:r>
      <w:r w:rsidRPr="0006784C">
        <w:rPr>
          <w:color w:val="000000"/>
          <w:sz w:val="28"/>
          <w:szCs w:val="28"/>
        </w:rPr>
        <w:t>приведенными</w:t>
      </w:r>
      <w:r>
        <w:rPr>
          <w:color w:val="000000"/>
          <w:sz w:val="28"/>
          <w:szCs w:val="28"/>
        </w:rPr>
        <w:t xml:space="preserve"> </w:t>
      </w:r>
      <w:r w:rsidRPr="0006784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6784C">
        <w:rPr>
          <w:color w:val="000000"/>
          <w:sz w:val="28"/>
          <w:szCs w:val="28"/>
        </w:rPr>
        <w:t>таблице</w:t>
      </w:r>
      <w:r>
        <w:rPr>
          <w:color w:val="000000"/>
          <w:sz w:val="28"/>
          <w:szCs w:val="28"/>
        </w:rPr>
        <w:t xml:space="preserve"> </w:t>
      </w:r>
      <w:r w:rsidRPr="0006784C">
        <w:rPr>
          <w:color w:val="000000"/>
          <w:sz w:val="28"/>
          <w:szCs w:val="28"/>
        </w:rPr>
        <w:t>1.8.</w:t>
      </w:r>
      <w:r>
        <w:rPr>
          <w:color w:val="000000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jc w:val="center"/>
        <w:rPr>
          <w:color w:val="000000"/>
          <w:sz w:val="28"/>
          <w:szCs w:val="28"/>
        </w:rPr>
      </w:pPr>
      <w:r w:rsidRPr="0006784C"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</w:rPr>
        <w:t xml:space="preserve"> </w:t>
      </w:r>
      <w:r w:rsidRPr="0006784C">
        <w:rPr>
          <w:color w:val="000000"/>
          <w:sz w:val="28"/>
          <w:szCs w:val="28"/>
        </w:rPr>
        <w:t>1.8</w:t>
      </w:r>
      <w:r>
        <w:rPr>
          <w:color w:val="000000"/>
          <w:sz w:val="28"/>
          <w:szCs w:val="28"/>
        </w:rPr>
        <w:t xml:space="preserve"> </w:t>
      </w:r>
      <w:r w:rsidRPr="0006784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6784C">
        <w:rPr>
          <w:color w:val="000000"/>
          <w:sz w:val="28"/>
          <w:szCs w:val="28"/>
        </w:rPr>
        <w:t>Факторы</w:t>
      </w:r>
      <w:r>
        <w:rPr>
          <w:color w:val="000000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SWOT-анализа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ситуации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муниципальном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Кинельский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834"/>
      </w:tblGrid>
      <w:tr w:rsidR="00653A6D" w:rsidRPr="0006784C" w:rsidTr="00653A6D">
        <w:trPr>
          <w:tblHeader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Группа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факторов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Критерии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оценки</w:t>
            </w:r>
          </w:p>
        </w:tc>
      </w:tr>
      <w:tr w:rsidR="00653A6D" w:rsidRPr="0006784C" w:rsidTr="00653A6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1.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Географическое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положение,</w:t>
            </w:r>
          </w:p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природно-ресурсный</w:t>
            </w:r>
          </w:p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потенциал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а)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Размер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территории;</w:t>
            </w:r>
          </w:p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б)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Пограничные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территории;</w:t>
            </w:r>
          </w:p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в)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Природно-ресурсный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потенциал;</w:t>
            </w:r>
          </w:p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г)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Инфраструктура</w:t>
            </w:r>
          </w:p>
        </w:tc>
      </w:tr>
      <w:tr w:rsidR="00653A6D" w:rsidRPr="0006784C" w:rsidTr="00653A6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2.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Отраслевая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структура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(деятельность)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а)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Темпы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роста;</w:t>
            </w:r>
          </w:p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б)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Инвестиционная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активность;</w:t>
            </w:r>
          </w:p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в)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Инновационная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деятельность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т.д.</w:t>
            </w:r>
          </w:p>
        </w:tc>
      </w:tr>
      <w:tr w:rsidR="00653A6D" w:rsidRPr="0006784C" w:rsidTr="00653A6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3.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Жилищная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сфера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а)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Инвестиции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строительство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жилых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домов;</w:t>
            </w:r>
          </w:p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б)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Организация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ЖКХ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т.д.</w:t>
            </w:r>
          </w:p>
        </w:tc>
      </w:tr>
      <w:tr w:rsidR="00653A6D" w:rsidRPr="0006784C" w:rsidTr="00653A6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4.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Население,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рынок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труда,</w:t>
            </w:r>
          </w:p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социальная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сфера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а)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Прожиточный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уровень;</w:t>
            </w:r>
          </w:p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б)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Уровень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безработицы</w:t>
            </w:r>
          </w:p>
          <w:p w:rsidR="00653A6D" w:rsidRPr="0006784C" w:rsidRDefault="00653A6D" w:rsidP="00653A6D">
            <w:pPr>
              <w:rPr>
                <w:sz w:val="24"/>
                <w:szCs w:val="28"/>
              </w:rPr>
            </w:pPr>
            <w:r w:rsidRPr="0006784C">
              <w:rPr>
                <w:sz w:val="24"/>
                <w:szCs w:val="28"/>
              </w:rPr>
              <w:t>в)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Социальная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сфера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06784C">
              <w:rPr>
                <w:sz w:val="24"/>
                <w:szCs w:val="28"/>
              </w:rPr>
              <w:t>т.д.</w:t>
            </w:r>
          </w:p>
        </w:tc>
      </w:tr>
    </w:tbl>
    <w:p w:rsidR="00653A6D" w:rsidRDefault="00653A6D" w:rsidP="00653A6D">
      <w:pPr>
        <w:spacing w:line="360" w:lineRule="auto"/>
        <w:rPr>
          <w:b/>
          <w:i/>
          <w:sz w:val="28"/>
          <w:szCs w:val="28"/>
        </w:rPr>
      </w:pPr>
    </w:p>
    <w:p w:rsidR="00653A6D" w:rsidRPr="0006784C" w:rsidRDefault="00653A6D" w:rsidP="00653A6D">
      <w:pPr>
        <w:spacing w:line="360" w:lineRule="auto"/>
        <w:rPr>
          <w:b/>
          <w:i/>
          <w:sz w:val="28"/>
          <w:szCs w:val="28"/>
        </w:rPr>
      </w:pPr>
      <w:r w:rsidRPr="0006784C">
        <w:rPr>
          <w:b/>
          <w:i/>
          <w:sz w:val="28"/>
          <w:szCs w:val="28"/>
        </w:rPr>
        <w:t>Сильные</w:t>
      </w:r>
      <w:r>
        <w:rPr>
          <w:b/>
          <w:i/>
          <w:sz w:val="28"/>
          <w:szCs w:val="28"/>
        </w:rPr>
        <w:t xml:space="preserve"> </w:t>
      </w:r>
      <w:r w:rsidRPr="0006784C">
        <w:rPr>
          <w:b/>
          <w:i/>
          <w:sz w:val="28"/>
          <w:szCs w:val="28"/>
        </w:rPr>
        <w:t>стороны</w:t>
      </w:r>
      <w:r>
        <w:rPr>
          <w:b/>
          <w:i/>
          <w:sz w:val="28"/>
          <w:szCs w:val="28"/>
        </w:rPr>
        <w:t xml:space="preserve"> </w:t>
      </w:r>
      <w:r w:rsidRPr="0006784C">
        <w:rPr>
          <w:b/>
          <w:i/>
          <w:sz w:val="28"/>
          <w:szCs w:val="28"/>
        </w:rPr>
        <w:t>(</w:t>
      </w:r>
      <w:r w:rsidRPr="0006784C">
        <w:rPr>
          <w:b/>
          <w:i/>
          <w:sz w:val="28"/>
          <w:szCs w:val="28"/>
          <w:lang w:val="en-US"/>
        </w:rPr>
        <w:t>S</w:t>
      </w:r>
      <w:r w:rsidRPr="0006784C">
        <w:rPr>
          <w:b/>
          <w:i/>
          <w:sz w:val="28"/>
          <w:szCs w:val="28"/>
        </w:rPr>
        <w:t>)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S</w:t>
      </w:r>
      <w:r w:rsidRPr="0006784C">
        <w:rPr>
          <w:color w:val="000000"/>
          <w:kern w:val="24"/>
          <w:position w:val="1"/>
          <w:sz w:val="28"/>
          <w:szCs w:val="28"/>
        </w:rPr>
        <w:t>1.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Муниципальный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район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Кинельский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занимает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четвертое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место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области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количеству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пахотных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земель.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S</w:t>
      </w:r>
      <w:r w:rsidRPr="0006784C">
        <w:rPr>
          <w:color w:val="000000"/>
          <w:kern w:val="24"/>
          <w:position w:val="1"/>
          <w:sz w:val="28"/>
          <w:szCs w:val="28"/>
        </w:rPr>
        <w:t>2.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Населенные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пункты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благоприятно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расположены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вблизи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трасс.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S</w:t>
      </w:r>
      <w:r w:rsidRPr="0006784C">
        <w:rPr>
          <w:color w:val="000000"/>
          <w:kern w:val="24"/>
          <w:position w:val="1"/>
          <w:sz w:val="28"/>
          <w:szCs w:val="28"/>
        </w:rPr>
        <w:t>3.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Высокая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S</w:t>
      </w:r>
      <w:r w:rsidRPr="0006784C">
        <w:rPr>
          <w:color w:val="000000"/>
          <w:kern w:val="24"/>
          <w:position w:val="1"/>
          <w:sz w:val="28"/>
          <w:szCs w:val="28"/>
        </w:rPr>
        <w:t>4.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бизнеса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прошлогодних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значений.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S</w:t>
      </w:r>
      <w:r w:rsidRPr="0006784C">
        <w:rPr>
          <w:color w:val="000000"/>
          <w:kern w:val="24"/>
          <w:position w:val="1"/>
          <w:sz w:val="28"/>
          <w:szCs w:val="28"/>
        </w:rPr>
        <w:t>5.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Результативно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работает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«</w:t>
      </w:r>
      <w:proofErr w:type="spellStart"/>
      <w:r w:rsidRPr="0006784C">
        <w:rPr>
          <w:sz w:val="28"/>
          <w:szCs w:val="28"/>
        </w:rPr>
        <w:t>Микрофинансовый</w:t>
      </w:r>
      <w:proofErr w:type="spellEnd"/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Кинельский»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рамках</w:t>
      </w:r>
      <w:r>
        <w:rPr>
          <w:bCs/>
          <w:kern w:val="36"/>
          <w:sz w:val="28"/>
          <w:szCs w:val="28"/>
        </w:rPr>
        <w:t xml:space="preserve"> </w:t>
      </w:r>
      <w:r w:rsidRPr="0006784C">
        <w:rPr>
          <w:bCs/>
          <w:kern w:val="36"/>
          <w:sz w:val="28"/>
          <w:szCs w:val="28"/>
        </w:rPr>
        <w:t>муниципальной</w:t>
      </w:r>
      <w:r>
        <w:rPr>
          <w:bCs/>
          <w:kern w:val="36"/>
          <w:sz w:val="28"/>
          <w:szCs w:val="28"/>
        </w:rPr>
        <w:t xml:space="preserve"> </w:t>
      </w:r>
      <w:r w:rsidRPr="0006784C">
        <w:rPr>
          <w:bCs/>
          <w:kern w:val="36"/>
          <w:sz w:val="28"/>
          <w:szCs w:val="28"/>
        </w:rPr>
        <w:t>программы</w:t>
      </w:r>
      <w:r>
        <w:rPr>
          <w:bCs/>
          <w:kern w:val="36"/>
          <w:sz w:val="28"/>
          <w:szCs w:val="28"/>
        </w:rPr>
        <w:t xml:space="preserve"> </w:t>
      </w:r>
      <w:r w:rsidRPr="0006784C">
        <w:rPr>
          <w:bCs/>
          <w:kern w:val="36"/>
          <w:sz w:val="28"/>
          <w:szCs w:val="28"/>
        </w:rPr>
        <w:t>«Развитие</w:t>
      </w:r>
      <w:r>
        <w:rPr>
          <w:bCs/>
          <w:kern w:val="36"/>
          <w:sz w:val="28"/>
          <w:szCs w:val="28"/>
        </w:rPr>
        <w:t xml:space="preserve"> </w:t>
      </w:r>
      <w:r w:rsidRPr="0006784C">
        <w:rPr>
          <w:bCs/>
          <w:kern w:val="36"/>
          <w:sz w:val="28"/>
          <w:szCs w:val="28"/>
        </w:rPr>
        <w:t>и</w:t>
      </w:r>
      <w:r>
        <w:rPr>
          <w:bCs/>
          <w:kern w:val="36"/>
          <w:sz w:val="28"/>
          <w:szCs w:val="28"/>
        </w:rPr>
        <w:t xml:space="preserve"> </w:t>
      </w:r>
      <w:r w:rsidRPr="0006784C">
        <w:rPr>
          <w:bCs/>
          <w:kern w:val="36"/>
          <w:sz w:val="28"/>
          <w:szCs w:val="28"/>
        </w:rPr>
        <w:t>поддержка</w:t>
      </w:r>
      <w:r>
        <w:rPr>
          <w:bCs/>
          <w:kern w:val="36"/>
          <w:sz w:val="28"/>
          <w:szCs w:val="28"/>
        </w:rPr>
        <w:t xml:space="preserve"> </w:t>
      </w:r>
      <w:r w:rsidRPr="0006784C">
        <w:rPr>
          <w:bCs/>
          <w:kern w:val="36"/>
          <w:sz w:val="28"/>
          <w:szCs w:val="28"/>
        </w:rPr>
        <w:t>предпринимательства</w:t>
      </w:r>
      <w:r>
        <w:rPr>
          <w:bCs/>
          <w:kern w:val="36"/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гг.».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S</w:t>
      </w:r>
      <w:r w:rsidRPr="0006784C">
        <w:rPr>
          <w:color w:val="000000"/>
          <w:kern w:val="24"/>
          <w:position w:val="1"/>
          <w:sz w:val="28"/>
          <w:szCs w:val="28"/>
        </w:rPr>
        <w:t>6.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Высокий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туристический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потенциал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района.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lastRenderedPageBreak/>
        <w:t>S</w:t>
      </w:r>
      <w:r w:rsidRPr="0006784C">
        <w:rPr>
          <w:color w:val="000000"/>
          <w:kern w:val="24"/>
          <w:position w:val="1"/>
          <w:sz w:val="28"/>
          <w:szCs w:val="28"/>
        </w:rPr>
        <w:t>7.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развивается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брендов: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безалкогольные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напитки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(ООО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«</w:t>
      </w:r>
      <w:proofErr w:type="spellStart"/>
      <w:r w:rsidRPr="0006784C">
        <w:rPr>
          <w:sz w:val="28"/>
          <w:szCs w:val="28"/>
        </w:rPr>
        <w:t>Сколковские</w:t>
      </w:r>
      <w:proofErr w:type="spellEnd"/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напитки»,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ООО</w:t>
      </w:r>
      <w:r>
        <w:rPr>
          <w:sz w:val="28"/>
          <w:szCs w:val="28"/>
        </w:rPr>
        <w:t xml:space="preserve"> «Георгиевские напитки»), хлебо</w:t>
      </w:r>
      <w:r w:rsidRPr="0006784C">
        <w:rPr>
          <w:sz w:val="28"/>
          <w:szCs w:val="28"/>
        </w:rPr>
        <w:t>булочная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«Георгиевского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хлебозавода».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S</w:t>
      </w:r>
      <w:r w:rsidRPr="0006784C">
        <w:rPr>
          <w:color w:val="000000"/>
          <w:kern w:val="24"/>
          <w:position w:val="1"/>
          <w:sz w:val="28"/>
          <w:szCs w:val="28"/>
        </w:rPr>
        <w:t>8.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развиваются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производству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пищевых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грибов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грибной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(ООО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«НПО</w:t>
      </w:r>
      <w:r>
        <w:rPr>
          <w:sz w:val="28"/>
          <w:szCs w:val="28"/>
        </w:rPr>
        <w:t xml:space="preserve"> </w:t>
      </w:r>
      <w:proofErr w:type="spellStart"/>
      <w:r w:rsidRPr="0006784C">
        <w:rPr>
          <w:sz w:val="28"/>
          <w:szCs w:val="28"/>
        </w:rPr>
        <w:t>Биогрин</w:t>
      </w:r>
      <w:proofErr w:type="spellEnd"/>
      <w:r w:rsidRPr="0006784C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инвестиционный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«</w:t>
      </w:r>
      <w:proofErr w:type="spellStart"/>
      <w:r w:rsidRPr="0006784C">
        <w:rPr>
          <w:sz w:val="28"/>
          <w:szCs w:val="28"/>
        </w:rPr>
        <w:t>Орикс</w:t>
      </w:r>
      <w:proofErr w:type="spellEnd"/>
      <w:r w:rsidRPr="0006784C">
        <w:rPr>
          <w:sz w:val="28"/>
          <w:szCs w:val="28"/>
        </w:rPr>
        <w:t>»)</w:t>
      </w:r>
      <w:r w:rsidRPr="0006784C">
        <w:rPr>
          <w:color w:val="000000"/>
          <w:kern w:val="24"/>
          <w:position w:val="1"/>
          <w:sz w:val="28"/>
          <w:szCs w:val="28"/>
        </w:rPr>
        <w:t>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S</w:t>
      </w:r>
      <w:r w:rsidRPr="0006784C">
        <w:rPr>
          <w:color w:val="000000"/>
          <w:kern w:val="24"/>
          <w:position w:val="1"/>
          <w:sz w:val="28"/>
          <w:szCs w:val="28"/>
        </w:rPr>
        <w:t>9.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Растениеводство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экономику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S</w:t>
      </w:r>
      <w:r w:rsidRPr="0006784C">
        <w:rPr>
          <w:color w:val="000000"/>
          <w:kern w:val="24"/>
          <w:position w:val="1"/>
          <w:sz w:val="28"/>
          <w:szCs w:val="28"/>
        </w:rPr>
        <w:t>10.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Высокий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экспортный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потенциал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района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бобовым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техническим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культурам.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kern w:val="24"/>
          <w:position w:val="1"/>
          <w:sz w:val="28"/>
          <w:szCs w:val="28"/>
        </w:rPr>
      </w:pPr>
      <w:r w:rsidRPr="0006784C">
        <w:rPr>
          <w:kern w:val="24"/>
          <w:position w:val="1"/>
          <w:sz w:val="28"/>
          <w:szCs w:val="28"/>
          <w:lang w:val="en-US"/>
        </w:rPr>
        <w:t>S</w:t>
      </w:r>
      <w:r w:rsidRPr="0006784C">
        <w:rPr>
          <w:kern w:val="24"/>
          <w:position w:val="1"/>
          <w:sz w:val="28"/>
          <w:szCs w:val="28"/>
        </w:rPr>
        <w:t>11.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Высокий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экспортный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потенциал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продукции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обрабатывающей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промышленности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завода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ООО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«Балтика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–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Самара»,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группы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компании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«Маяк».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kern w:val="24"/>
          <w:position w:val="1"/>
          <w:sz w:val="28"/>
          <w:szCs w:val="28"/>
          <w:lang w:val="en-US"/>
        </w:rPr>
        <w:t>S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12.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Высокий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экспортный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потенциал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нефтяной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продукции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добывающей</w:t>
      </w:r>
      <w:r>
        <w:rPr>
          <w:kern w:val="24"/>
          <w:position w:val="1"/>
          <w:sz w:val="28"/>
          <w:szCs w:val="28"/>
        </w:rPr>
        <w:t xml:space="preserve"> </w:t>
      </w:r>
      <w:r w:rsidRPr="0006784C">
        <w:rPr>
          <w:kern w:val="24"/>
          <w:position w:val="1"/>
          <w:sz w:val="28"/>
          <w:szCs w:val="28"/>
        </w:rPr>
        <w:t>отрасли.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S</w:t>
      </w:r>
      <w:r w:rsidRPr="0006784C">
        <w:rPr>
          <w:color w:val="000000"/>
          <w:kern w:val="24"/>
          <w:position w:val="1"/>
          <w:sz w:val="28"/>
          <w:szCs w:val="28"/>
        </w:rPr>
        <w:t>13.</w:t>
      </w:r>
      <w:r>
        <w:rPr>
          <w:color w:val="000000"/>
          <w:kern w:val="24"/>
          <w:position w:val="1"/>
          <w:sz w:val="28"/>
          <w:szCs w:val="28"/>
        </w:rPr>
        <w:t xml:space="preserve"> По производству молока на 100 г</w:t>
      </w:r>
      <w:r w:rsidRPr="0006784C">
        <w:rPr>
          <w:color w:val="000000"/>
          <w:kern w:val="24"/>
          <w:position w:val="1"/>
          <w:sz w:val="28"/>
          <w:szCs w:val="28"/>
        </w:rPr>
        <w:t>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сельскохозяйственных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угодий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позиция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района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поднялась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10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на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9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место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2017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году.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Увеличились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надои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на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фуражную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корову.</w:t>
      </w:r>
    </w:p>
    <w:p w:rsidR="00653A6D" w:rsidRPr="0006784C" w:rsidRDefault="00653A6D" w:rsidP="00653A6D">
      <w:pPr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S</w:t>
      </w:r>
      <w:r w:rsidRPr="0006784C">
        <w:rPr>
          <w:color w:val="000000"/>
          <w:kern w:val="24"/>
          <w:position w:val="1"/>
          <w:sz w:val="28"/>
          <w:szCs w:val="28"/>
        </w:rPr>
        <w:t>14.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индикаторы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Соглашения,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заключенного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МСХ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производству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молока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мяса,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превышением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заданий.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S</w:t>
      </w:r>
      <w:r w:rsidRPr="0006784C">
        <w:rPr>
          <w:color w:val="000000"/>
          <w:kern w:val="24"/>
          <w:position w:val="1"/>
          <w:sz w:val="28"/>
          <w:szCs w:val="28"/>
        </w:rPr>
        <w:t>15.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Среднемесячная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заработная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плата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крупным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средним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предприятиям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занимает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1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место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2017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году.</w:t>
      </w:r>
    </w:p>
    <w:p w:rsidR="00653A6D" w:rsidRPr="0006784C" w:rsidRDefault="00653A6D" w:rsidP="00653A6D">
      <w:pPr>
        <w:spacing w:line="360" w:lineRule="auto"/>
        <w:rPr>
          <w:b/>
          <w:i/>
          <w:color w:val="000000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S</w:t>
      </w:r>
      <w:r w:rsidRPr="0006784C">
        <w:rPr>
          <w:color w:val="000000"/>
          <w:kern w:val="24"/>
          <w:position w:val="1"/>
          <w:sz w:val="28"/>
          <w:szCs w:val="28"/>
        </w:rPr>
        <w:t>16.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зарегистрированной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безработицы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занимает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5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место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2017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году.</w:t>
      </w:r>
      <w:r>
        <w:rPr>
          <w:b/>
          <w:i/>
          <w:color w:val="000000"/>
        </w:rPr>
        <w:t xml:space="preserve"> </w:t>
      </w:r>
    </w:p>
    <w:p w:rsidR="00653A6D" w:rsidRPr="0006784C" w:rsidRDefault="00653A6D" w:rsidP="00653A6D">
      <w:pPr>
        <w:spacing w:line="360" w:lineRule="auto"/>
        <w:jc w:val="both"/>
        <w:rPr>
          <w:sz w:val="28"/>
          <w:szCs w:val="28"/>
        </w:rPr>
      </w:pPr>
      <w:r w:rsidRPr="0006784C">
        <w:rPr>
          <w:color w:val="000000"/>
          <w:sz w:val="28"/>
          <w:szCs w:val="28"/>
          <w:lang w:val="en-US"/>
        </w:rPr>
        <w:t>S</w:t>
      </w:r>
      <w:r w:rsidRPr="0006784C">
        <w:rPr>
          <w:color w:val="000000"/>
          <w:sz w:val="28"/>
          <w:szCs w:val="28"/>
        </w:rPr>
        <w:t>17.</w:t>
      </w:r>
      <w:r>
        <w:rPr>
          <w:color w:val="000000"/>
          <w:sz w:val="28"/>
          <w:szCs w:val="28"/>
        </w:rPr>
        <w:t xml:space="preserve"> </w:t>
      </w:r>
      <w:r w:rsidRPr="0006784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поселениях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жилищное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строительство,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многодетных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семей.</w:t>
      </w:r>
    </w:p>
    <w:p w:rsidR="00653A6D" w:rsidRDefault="00653A6D" w:rsidP="00653A6D">
      <w:pPr>
        <w:spacing w:line="360" w:lineRule="auto"/>
        <w:jc w:val="both"/>
        <w:rPr>
          <w:sz w:val="28"/>
          <w:szCs w:val="28"/>
        </w:rPr>
      </w:pPr>
      <w:r w:rsidRPr="0006784C">
        <w:rPr>
          <w:sz w:val="28"/>
          <w:szCs w:val="28"/>
          <w:lang w:val="en-US"/>
        </w:rPr>
        <w:t>S</w:t>
      </w:r>
      <w:r w:rsidRPr="0006784C">
        <w:rPr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детские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сады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переведены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энергосберегающие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технологии.</w:t>
      </w:r>
    </w:p>
    <w:p w:rsidR="00653A6D" w:rsidRPr="0006784C" w:rsidRDefault="00653A6D" w:rsidP="00653A6D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6784C">
        <w:rPr>
          <w:sz w:val="28"/>
          <w:szCs w:val="28"/>
          <w:lang w:val="en-US"/>
        </w:rPr>
        <w:lastRenderedPageBreak/>
        <w:t>S</w:t>
      </w:r>
      <w:r w:rsidRPr="0006784C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«Наше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будущее»,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профильный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аграрный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класс.</w:t>
      </w:r>
    </w:p>
    <w:p w:rsidR="00653A6D" w:rsidRPr="0006784C" w:rsidRDefault="00653A6D" w:rsidP="00653A6D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6784C">
        <w:rPr>
          <w:sz w:val="28"/>
          <w:szCs w:val="28"/>
          <w:lang w:val="en-US"/>
        </w:rPr>
        <w:t>S</w:t>
      </w:r>
      <w:r w:rsidRPr="0006784C"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функционирует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Детская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искусств.</w:t>
      </w:r>
    </w:p>
    <w:p w:rsidR="00653A6D" w:rsidRPr="0006784C" w:rsidRDefault="00653A6D" w:rsidP="00653A6D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6784C">
        <w:rPr>
          <w:sz w:val="28"/>
          <w:szCs w:val="28"/>
          <w:lang w:val="en-US"/>
        </w:rPr>
        <w:t>S</w:t>
      </w:r>
      <w:r w:rsidRPr="0006784C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фестивалей,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конкурсов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праздников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уровня.</w:t>
      </w:r>
    </w:p>
    <w:p w:rsidR="00653A6D" w:rsidRPr="00735823" w:rsidRDefault="00653A6D" w:rsidP="00653A6D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6784C">
        <w:rPr>
          <w:sz w:val="28"/>
          <w:szCs w:val="28"/>
          <w:lang w:val="en-US"/>
        </w:rPr>
        <w:t>S</w:t>
      </w:r>
      <w:r w:rsidRPr="0006784C">
        <w:rPr>
          <w:sz w:val="28"/>
          <w:szCs w:val="28"/>
        </w:rPr>
        <w:t>22.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функционируют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клубы</w:t>
      </w:r>
      <w:r w:rsidRPr="007358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3A6D" w:rsidRPr="0006784C" w:rsidRDefault="00653A6D" w:rsidP="00653A6D">
      <w:pPr>
        <w:tabs>
          <w:tab w:val="left" w:pos="142"/>
        </w:tabs>
        <w:spacing w:line="360" w:lineRule="auto"/>
        <w:jc w:val="both"/>
        <w:rPr>
          <w:sz w:val="28"/>
          <w:szCs w:val="28"/>
          <w:u w:val="single"/>
        </w:rPr>
      </w:pPr>
      <w:r w:rsidRPr="0006784C">
        <w:rPr>
          <w:sz w:val="28"/>
          <w:szCs w:val="28"/>
          <w:lang w:val="en-US"/>
        </w:rPr>
        <w:t>S</w:t>
      </w:r>
      <w:r w:rsidRPr="0006784C">
        <w:rPr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поселениях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Комсомольский,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Домашка,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Георгиевка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06784C">
        <w:rPr>
          <w:sz w:val="28"/>
          <w:szCs w:val="28"/>
        </w:rPr>
        <w:t>функционируют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физкультурно-оздоровительные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комплексы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(ФОК).</w:t>
      </w:r>
    </w:p>
    <w:p w:rsidR="00653A6D" w:rsidRPr="0006784C" w:rsidRDefault="00653A6D" w:rsidP="00653A6D">
      <w:pPr>
        <w:spacing w:line="360" w:lineRule="auto"/>
        <w:jc w:val="both"/>
        <w:rPr>
          <w:bCs/>
          <w:sz w:val="28"/>
          <w:szCs w:val="28"/>
        </w:rPr>
      </w:pPr>
      <w:r w:rsidRPr="0006784C">
        <w:rPr>
          <w:sz w:val="28"/>
          <w:szCs w:val="28"/>
          <w:lang w:val="en-US"/>
        </w:rPr>
        <w:t>S</w:t>
      </w:r>
      <w:r w:rsidRPr="0006784C">
        <w:rPr>
          <w:sz w:val="28"/>
          <w:szCs w:val="28"/>
        </w:rPr>
        <w:t>24.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Кинельский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отсутствуют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факты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проявления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экстремизма,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межнациональной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вражды.</w:t>
      </w:r>
    </w:p>
    <w:p w:rsidR="00653A6D" w:rsidRPr="0006784C" w:rsidRDefault="00653A6D" w:rsidP="00653A6D">
      <w:pPr>
        <w:spacing w:line="360" w:lineRule="auto"/>
        <w:jc w:val="both"/>
        <w:rPr>
          <w:sz w:val="28"/>
          <w:szCs w:val="28"/>
        </w:rPr>
      </w:pPr>
      <w:r w:rsidRPr="0006784C">
        <w:rPr>
          <w:sz w:val="28"/>
          <w:szCs w:val="28"/>
          <w:lang w:val="en-US"/>
        </w:rPr>
        <w:t>S</w:t>
      </w:r>
      <w:r w:rsidRPr="0006784C">
        <w:rPr>
          <w:sz w:val="28"/>
          <w:szCs w:val="28"/>
        </w:rPr>
        <w:t>25.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поселениях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функционируют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территориально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обособленные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структурные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многофункционального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центра.</w:t>
      </w:r>
    </w:p>
    <w:p w:rsidR="00653A6D" w:rsidRPr="0006784C" w:rsidRDefault="00653A6D" w:rsidP="00653A6D">
      <w:pPr>
        <w:pStyle w:val="1"/>
        <w:spacing w:before="0" w:line="360" w:lineRule="auto"/>
        <w:rPr>
          <w:rFonts w:ascii="Times New Roman" w:hAnsi="Times New Roman" w:cs="Times New Roman"/>
          <w:i/>
          <w:color w:val="000000" w:themeColor="text1"/>
        </w:rPr>
      </w:pPr>
      <w:r w:rsidRPr="0006784C">
        <w:rPr>
          <w:rFonts w:ascii="Times New Roman" w:hAnsi="Times New Roman" w:cs="Times New Roman"/>
          <w:i/>
          <w:color w:val="000000" w:themeColor="text1"/>
        </w:rPr>
        <w:t>Слабые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i/>
          <w:color w:val="000000" w:themeColor="text1"/>
        </w:rPr>
        <w:t>стороны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i/>
          <w:color w:val="000000" w:themeColor="text1"/>
        </w:rPr>
        <w:t>(</w:t>
      </w:r>
      <w:r w:rsidRPr="0006784C">
        <w:rPr>
          <w:rFonts w:ascii="Times New Roman" w:hAnsi="Times New Roman" w:cs="Times New Roman"/>
          <w:i/>
          <w:color w:val="000000" w:themeColor="text1"/>
          <w:lang w:val="en-US"/>
        </w:rPr>
        <w:t>W</w:t>
      </w:r>
      <w:r w:rsidRPr="0006784C">
        <w:rPr>
          <w:rFonts w:ascii="Times New Roman" w:hAnsi="Times New Roman" w:cs="Times New Roman"/>
          <w:i/>
          <w:color w:val="000000" w:themeColor="text1"/>
        </w:rPr>
        <w:t>)</w:t>
      </w:r>
    </w:p>
    <w:p w:rsidR="00653A6D" w:rsidRPr="00735823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735823">
        <w:rPr>
          <w:sz w:val="28"/>
          <w:szCs w:val="28"/>
        </w:rPr>
        <w:t>W1.</w:t>
      </w:r>
      <w:r>
        <w:rPr>
          <w:sz w:val="28"/>
          <w:szCs w:val="28"/>
        </w:rPr>
        <w:t xml:space="preserve"> </w:t>
      </w:r>
      <w:r w:rsidRPr="00735823">
        <w:rPr>
          <w:sz w:val="28"/>
          <w:szCs w:val="28"/>
        </w:rPr>
        <w:t>Низкая</w:t>
      </w:r>
      <w:r>
        <w:rPr>
          <w:sz w:val="28"/>
          <w:szCs w:val="28"/>
        </w:rPr>
        <w:t xml:space="preserve"> </w:t>
      </w:r>
      <w:r w:rsidRPr="00735823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</w:t>
      </w:r>
      <w:r w:rsidRPr="00735823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73582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3582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35823">
        <w:rPr>
          <w:sz w:val="28"/>
          <w:szCs w:val="28"/>
        </w:rPr>
        <w:t>тенденцией</w:t>
      </w:r>
      <w:r>
        <w:rPr>
          <w:sz w:val="28"/>
          <w:szCs w:val="28"/>
        </w:rPr>
        <w:t xml:space="preserve"> </w:t>
      </w:r>
      <w:r w:rsidRPr="0073582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35823">
        <w:rPr>
          <w:sz w:val="28"/>
          <w:szCs w:val="28"/>
        </w:rPr>
        <w:t>снижению.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долгосрочной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перспективе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продолжится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Кинельский,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связанное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низкими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параметрами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воспроизводства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невысоким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миграционным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приростом,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частично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возместит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естественные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населения.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2030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годом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сократиться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4,8%.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2.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Уровень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естественной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убыли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населения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районе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растет.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Обеспеченность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врачами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специальностей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4.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упал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1-2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27.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5.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Индекс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производства</w:t>
      </w:r>
      <w:r>
        <w:rPr>
          <w:bCs/>
          <w:sz w:val="28"/>
          <w:szCs w:val="28"/>
        </w:rPr>
        <w:t xml:space="preserve"> </w:t>
      </w:r>
      <w:r w:rsidRPr="0006784C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(валовой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территориальный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продукт)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базовых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(сельское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хозяйство,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добыча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полезных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ископаемых,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промышленность,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транспорт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связь,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строительство,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недвижимым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др.)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снизился.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lastRenderedPageBreak/>
        <w:t>W</w:t>
      </w:r>
      <w:r w:rsidRPr="0006784C">
        <w:rPr>
          <w:color w:val="000000"/>
          <w:kern w:val="24"/>
          <w:position w:val="1"/>
          <w:sz w:val="28"/>
          <w:szCs w:val="28"/>
        </w:rPr>
        <w:t>6.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объему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душу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позиция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2017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году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упала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4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на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6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место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7.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Снижение</w:t>
      </w:r>
      <w:r>
        <w:rPr>
          <w:color w:val="000000"/>
          <w:kern w:val="24"/>
          <w:position w:val="1"/>
          <w:sz w:val="28"/>
          <w:szCs w:val="28"/>
        </w:rPr>
        <w:t xml:space="preserve"> инвестиционной </w:t>
      </w:r>
      <w:r w:rsidRPr="0006784C">
        <w:rPr>
          <w:color w:val="000000"/>
          <w:kern w:val="24"/>
          <w:position w:val="1"/>
          <w:sz w:val="28"/>
          <w:szCs w:val="28"/>
        </w:rPr>
        <w:t>активности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районе.</w:t>
      </w:r>
    </w:p>
    <w:p w:rsidR="00653A6D" w:rsidRPr="0006784C" w:rsidRDefault="00653A6D" w:rsidP="00653A6D">
      <w:pPr>
        <w:spacing w:line="360" w:lineRule="auto"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8.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инфраструктурные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Кинельского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сократился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вдвое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9.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Бюджетная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обеспеченность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неналоговых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душу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безвозмездных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перечислений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душу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proofErr w:type="spellStart"/>
      <w:r w:rsidRPr="0006784C">
        <w:rPr>
          <w:sz w:val="28"/>
          <w:szCs w:val="28"/>
        </w:rPr>
        <w:t>среднеобластного</w:t>
      </w:r>
      <w:proofErr w:type="spellEnd"/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значения.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10.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отгрузке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(С,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душу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позиция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упала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6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место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за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2017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год.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11.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индексу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средних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позиция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упала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26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место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2017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году.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12.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Крупнейшая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«Балтика-Самара»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сократила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натуральном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выражении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год,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снизился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выручки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продукции.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13.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отгрузки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мукомольно-крупяной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стоимостном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выражении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«Самарские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мельницы»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сократился.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14.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Крупнейший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производитель</w:t>
      </w:r>
      <w:r>
        <w:rPr>
          <w:sz w:val="28"/>
          <w:szCs w:val="28"/>
        </w:rPr>
        <w:t xml:space="preserve"> </w:t>
      </w:r>
      <w:proofErr w:type="spellStart"/>
      <w:r w:rsidRPr="0006784C">
        <w:rPr>
          <w:sz w:val="28"/>
          <w:szCs w:val="28"/>
        </w:rPr>
        <w:t>токопровода</w:t>
      </w:r>
      <w:proofErr w:type="spellEnd"/>
      <w:r w:rsidRPr="000678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металлоконструкций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строительной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«Электрощит»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существенно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сократил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15.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ООО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«</w:t>
      </w:r>
      <w:proofErr w:type="spellStart"/>
      <w:r w:rsidRPr="0006784C">
        <w:rPr>
          <w:bCs/>
          <w:sz w:val="28"/>
          <w:szCs w:val="28"/>
        </w:rPr>
        <w:t>Целер</w:t>
      </w:r>
      <w:proofErr w:type="spellEnd"/>
      <w:r w:rsidRPr="0006784C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производитель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деталей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трубопроводов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полимерным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антикоррозийным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покрытием,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снизил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объемы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отгруженной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продукции.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16.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валовому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сбору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зерновых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зернобобовых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культур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позиция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района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упала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14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на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15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место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2017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году.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17.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урожайности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зерновых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зернобобовых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культур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1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га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убранной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площади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позиция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района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упала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9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на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12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место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2017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году.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lastRenderedPageBreak/>
        <w:t>W</w:t>
      </w:r>
      <w:r w:rsidRPr="0006784C">
        <w:rPr>
          <w:color w:val="000000"/>
          <w:kern w:val="24"/>
          <w:position w:val="1"/>
          <w:sz w:val="28"/>
          <w:szCs w:val="28"/>
        </w:rPr>
        <w:t>18.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производству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скота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птицы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угодий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позиция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упала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3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место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2017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году.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19.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Сокращение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АПК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году.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20.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техническому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потенциалу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АПК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далек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идеала.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ощущает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нехватку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комбайнов.</w:t>
      </w:r>
    </w:p>
    <w:p w:rsidR="00653A6D" w:rsidRPr="0006784C" w:rsidRDefault="00653A6D" w:rsidP="00653A6D">
      <w:pPr>
        <w:spacing w:line="360" w:lineRule="auto"/>
        <w:contextualSpacing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21</w:t>
      </w:r>
      <w:r w:rsidRPr="000678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Базовые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животноводческие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физически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морально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устарели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конкурируют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современными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высокотехнологичными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комплексами.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color w:val="000000"/>
          <w:kern w:val="24"/>
          <w:position w:val="1"/>
          <w:sz w:val="28"/>
          <w:szCs w:val="28"/>
        </w:rPr>
        <w:t>22.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Объемы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прошлогодних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значений.</w:t>
      </w:r>
    </w:p>
    <w:p w:rsidR="00653A6D" w:rsidRPr="0006784C" w:rsidRDefault="00653A6D" w:rsidP="00653A6D">
      <w:pPr>
        <w:spacing w:line="360" w:lineRule="auto"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Отрицательная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районе.</w:t>
      </w:r>
    </w:p>
    <w:p w:rsidR="00653A6D" w:rsidRPr="0006784C" w:rsidRDefault="00653A6D" w:rsidP="00653A6D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sz w:val="28"/>
          <w:szCs w:val="28"/>
        </w:rPr>
        <w:t>24.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  <w:shd w:val="clear" w:color="auto" w:fill="FFFFFF"/>
        </w:rPr>
        <w:t>Низкая</w:t>
      </w:r>
      <w:r>
        <w:rPr>
          <w:sz w:val="28"/>
          <w:szCs w:val="28"/>
          <w:shd w:val="clear" w:color="auto" w:fill="FFFFFF"/>
        </w:rPr>
        <w:t xml:space="preserve"> </w:t>
      </w:r>
      <w:r w:rsidRPr="0006784C">
        <w:rPr>
          <w:sz w:val="28"/>
          <w:szCs w:val="28"/>
          <w:shd w:val="clear" w:color="auto" w:fill="FFFFFF"/>
        </w:rPr>
        <w:t>активность</w:t>
      </w:r>
      <w:r>
        <w:rPr>
          <w:sz w:val="28"/>
          <w:szCs w:val="28"/>
          <w:shd w:val="clear" w:color="auto" w:fill="FFFFFF"/>
        </w:rPr>
        <w:t xml:space="preserve"> </w:t>
      </w:r>
      <w:r w:rsidRPr="0006784C">
        <w:rPr>
          <w:sz w:val="28"/>
          <w:szCs w:val="28"/>
          <w:shd w:val="clear" w:color="auto" w:fill="FFFFFF"/>
        </w:rPr>
        <w:t>общественных</w:t>
      </w:r>
      <w:r>
        <w:rPr>
          <w:sz w:val="28"/>
          <w:szCs w:val="28"/>
          <w:shd w:val="clear" w:color="auto" w:fill="FFFFFF"/>
        </w:rPr>
        <w:t xml:space="preserve"> </w:t>
      </w:r>
      <w:r w:rsidRPr="0006784C">
        <w:rPr>
          <w:sz w:val="28"/>
          <w:szCs w:val="28"/>
          <w:shd w:val="clear" w:color="auto" w:fill="FFFFFF"/>
        </w:rPr>
        <w:t>организаций,</w:t>
      </w:r>
      <w:r>
        <w:rPr>
          <w:sz w:val="28"/>
          <w:szCs w:val="28"/>
          <w:shd w:val="clear" w:color="auto" w:fill="FFFFFF"/>
        </w:rPr>
        <w:t xml:space="preserve"> </w:t>
      </w:r>
      <w:r w:rsidRPr="0006784C">
        <w:rPr>
          <w:sz w:val="28"/>
          <w:szCs w:val="28"/>
          <w:shd w:val="clear" w:color="auto" w:fill="FFFFFF"/>
        </w:rPr>
        <w:t>что</w:t>
      </w:r>
      <w:r>
        <w:rPr>
          <w:sz w:val="28"/>
          <w:szCs w:val="28"/>
          <w:shd w:val="clear" w:color="auto" w:fill="FFFFFF"/>
        </w:rPr>
        <w:t xml:space="preserve"> </w:t>
      </w:r>
      <w:r w:rsidRPr="0006784C">
        <w:rPr>
          <w:sz w:val="28"/>
          <w:szCs w:val="28"/>
          <w:shd w:val="clear" w:color="auto" w:fill="FFFFFF"/>
        </w:rPr>
        <w:t>снижает</w:t>
      </w:r>
      <w:r>
        <w:rPr>
          <w:sz w:val="28"/>
          <w:szCs w:val="28"/>
          <w:shd w:val="clear" w:color="auto" w:fill="FFFFFF"/>
        </w:rPr>
        <w:t xml:space="preserve"> возможность </w:t>
      </w:r>
      <w:r w:rsidRPr="0006784C">
        <w:rPr>
          <w:sz w:val="28"/>
          <w:szCs w:val="28"/>
          <w:shd w:val="clear" w:color="auto" w:fill="FFFFFF"/>
        </w:rPr>
        <w:t>привлечения</w:t>
      </w:r>
      <w:r>
        <w:rPr>
          <w:sz w:val="28"/>
          <w:szCs w:val="28"/>
          <w:shd w:val="clear" w:color="auto" w:fill="FFFFFF"/>
        </w:rPr>
        <w:t xml:space="preserve"> </w:t>
      </w:r>
      <w:r w:rsidRPr="0006784C">
        <w:rPr>
          <w:sz w:val="28"/>
          <w:szCs w:val="28"/>
          <w:shd w:val="clear" w:color="auto" w:fill="FFFFFF"/>
        </w:rPr>
        <w:t>дополнительных</w:t>
      </w:r>
      <w:r>
        <w:rPr>
          <w:sz w:val="28"/>
          <w:szCs w:val="28"/>
          <w:shd w:val="clear" w:color="auto" w:fill="FFFFFF"/>
        </w:rPr>
        <w:t xml:space="preserve"> источников </w:t>
      </w:r>
      <w:r w:rsidRPr="0006784C">
        <w:rPr>
          <w:sz w:val="28"/>
          <w:szCs w:val="28"/>
          <w:shd w:val="clear" w:color="auto" w:fill="FFFFFF"/>
        </w:rPr>
        <w:t>финансирования</w:t>
      </w:r>
      <w:r>
        <w:rPr>
          <w:sz w:val="28"/>
          <w:szCs w:val="28"/>
          <w:shd w:val="clear" w:color="auto" w:fill="FFFFFF"/>
        </w:rPr>
        <w:t xml:space="preserve"> </w:t>
      </w:r>
      <w:r w:rsidRPr="0006784C">
        <w:rPr>
          <w:sz w:val="28"/>
          <w:szCs w:val="28"/>
          <w:shd w:val="clear" w:color="auto" w:fill="FFFFFF"/>
        </w:rPr>
        <w:t>социальной</w:t>
      </w:r>
      <w:r>
        <w:rPr>
          <w:sz w:val="28"/>
          <w:szCs w:val="28"/>
          <w:shd w:val="clear" w:color="auto" w:fill="FFFFFF"/>
        </w:rPr>
        <w:t xml:space="preserve"> сферы   </w:t>
      </w:r>
      <w:r w:rsidRPr="0006784C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06784C">
        <w:rPr>
          <w:sz w:val="28"/>
          <w:szCs w:val="28"/>
          <w:shd w:val="clear" w:color="auto" w:fill="FFFFFF"/>
        </w:rPr>
        <w:t>виде</w:t>
      </w:r>
      <w:r>
        <w:rPr>
          <w:sz w:val="28"/>
          <w:szCs w:val="28"/>
          <w:shd w:val="clear" w:color="auto" w:fill="FFFFFF"/>
        </w:rPr>
        <w:t xml:space="preserve"> </w:t>
      </w:r>
      <w:r w:rsidRPr="0006784C">
        <w:rPr>
          <w:sz w:val="28"/>
          <w:szCs w:val="28"/>
          <w:shd w:val="clear" w:color="auto" w:fill="FFFFFF"/>
        </w:rPr>
        <w:t>грантов</w:t>
      </w:r>
      <w:r>
        <w:rPr>
          <w:sz w:val="28"/>
          <w:szCs w:val="28"/>
          <w:shd w:val="clear" w:color="auto" w:fill="FFFFFF"/>
        </w:rPr>
        <w:t xml:space="preserve"> </w:t>
      </w:r>
      <w:r w:rsidRPr="0006784C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06784C">
        <w:rPr>
          <w:sz w:val="28"/>
          <w:szCs w:val="28"/>
          <w:shd w:val="clear" w:color="auto" w:fill="FFFFFF"/>
        </w:rPr>
        <w:t>субсидий.</w:t>
      </w:r>
    </w:p>
    <w:p w:rsidR="00653A6D" w:rsidRPr="0006784C" w:rsidRDefault="00653A6D" w:rsidP="00653A6D">
      <w:pPr>
        <w:spacing w:line="360" w:lineRule="auto"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sz w:val="28"/>
          <w:szCs w:val="28"/>
        </w:rPr>
        <w:t>25.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поселениях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подключения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волоконно-оптическим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линиям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связи.</w:t>
      </w:r>
    </w:p>
    <w:p w:rsidR="00653A6D" w:rsidRPr="0006784C" w:rsidRDefault="00653A6D" w:rsidP="00653A6D">
      <w:pPr>
        <w:spacing w:line="360" w:lineRule="auto"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мобильная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гос.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пошлины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гос.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услугами.</w:t>
      </w:r>
    </w:p>
    <w:p w:rsidR="00653A6D" w:rsidRPr="0006784C" w:rsidRDefault="00653A6D" w:rsidP="00653A6D">
      <w:pPr>
        <w:spacing w:line="360" w:lineRule="auto"/>
        <w:jc w:val="both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W</w:t>
      </w:r>
      <w:r w:rsidRPr="0006784C">
        <w:rPr>
          <w:sz w:val="28"/>
          <w:szCs w:val="28"/>
        </w:rPr>
        <w:t>27.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удалённого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нотариального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заявителей.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/>
          <w:bCs/>
          <w:i/>
          <w:sz w:val="28"/>
          <w:szCs w:val="28"/>
        </w:rPr>
      </w:pPr>
      <w:r w:rsidRPr="0006784C">
        <w:rPr>
          <w:b/>
          <w:bCs/>
          <w:i/>
          <w:sz w:val="28"/>
          <w:szCs w:val="28"/>
        </w:rPr>
        <w:t>Возможности</w:t>
      </w:r>
      <w:r>
        <w:rPr>
          <w:b/>
          <w:bCs/>
          <w:i/>
          <w:sz w:val="28"/>
          <w:szCs w:val="28"/>
        </w:rPr>
        <w:t xml:space="preserve"> </w:t>
      </w:r>
      <w:r w:rsidRPr="0006784C">
        <w:rPr>
          <w:b/>
          <w:bCs/>
          <w:i/>
          <w:sz w:val="28"/>
          <w:szCs w:val="28"/>
        </w:rPr>
        <w:t>(О)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Cs/>
          <w:sz w:val="28"/>
          <w:szCs w:val="28"/>
        </w:rPr>
      </w:pPr>
      <w:r w:rsidRPr="0006784C">
        <w:rPr>
          <w:bCs/>
          <w:sz w:val="28"/>
          <w:szCs w:val="28"/>
        </w:rPr>
        <w:t>О1.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Самарской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реализуются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«Земский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доктор»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«Земский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фельдшер».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Cs/>
          <w:sz w:val="28"/>
          <w:szCs w:val="28"/>
        </w:rPr>
      </w:pPr>
      <w:r w:rsidRPr="0006784C">
        <w:rPr>
          <w:bCs/>
          <w:sz w:val="28"/>
          <w:szCs w:val="28"/>
        </w:rPr>
        <w:t>О2.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Стратегию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Самарской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заложены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проекты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строительства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Агропромышленных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парков.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Cs/>
          <w:sz w:val="28"/>
          <w:szCs w:val="28"/>
        </w:rPr>
      </w:pPr>
      <w:r w:rsidRPr="0006784C">
        <w:rPr>
          <w:bCs/>
          <w:sz w:val="28"/>
          <w:szCs w:val="28"/>
        </w:rPr>
        <w:t>О3.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Стратегию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Самарской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заложены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въездного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внутреннего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туризма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РФ.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Cs/>
          <w:sz w:val="28"/>
          <w:szCs w:val="28"/>
        </w:rPr>
      </w:pPr>
      <w:r w:rsidRPr="0006784C">
        <w:rPr>
          <w:bCs/>
          <w:sz w:val="28"/>
          <w:szCs w:val="28"/>
        </w:rPr>
        <w:t>О4.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Внешняя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конкуренция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сокращена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счет</w:t>
      </w:r>
      <w:r>
        <w:rPr>
          <w:bCs/>
          <w:sz w:val="28"/>
          <w:szCs w:val="28"/>
        </w:rPr>
        <w:t xml:space="preserve"> </w:t>
      </w:r>
      <w:proofErr w:type="spellStart"/>
      <w:r w:rsidRPr="0006784C">
        <w:rPr>
          <w:bCs/>
          <w:sz w:val="28"/>
          <w:szCs w:val="28"/>
        </w:rPr>
        <w:t>контрсанкций</w:t>
      </w:r>
      <w:proofErr w:type="spellEnd"/>
      <w:r w:rsidRPr="0006784C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Pr="0006784C">
        <w:rPr>
          <w:sz w:val="28"/>
          <w:szCs w:val="28"/>
        </w:rPr>
        <w:t>т.ч</w:t>
      </w:r>
      <w:proofErr w:type="spellEnd"/>
      <w:r w:rsidRPr="000678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продуктов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питания</w:t>
      </w:r>
      <w:r w:rsidRPr="0006784C">
        <w:rPr>
          <w:bCs/>
          <w:sz w:val="28"/>
          <w:szCs w:val="28"/>
        </w:rPr>
        <w:t>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Cs/>
          <w:sz w:val="28"/>
          <w:szCs w:val="28"/>
        </w:rPr>
      </w:pPr>
      <w:r w:rsidRPr="0006784C">
        <w:rPr>
          <w:bCs/>
          <w:sz w:val="28"/>
          <w:szCs w:val="28"/>
        </w:rPr>
        <w:lastRenderedPageBreak/>
        <w:t>О5.</w:t>
      </w:r>
      <w:r>
        <w:rPr>
          <w:bCs/>
          <w:sz w:val="28"/>
          <w:szCs w:val="28"/>
        </w:rPr>
        <w:t xml:space="preserve"> </w:t>
      </w:r>
      <w:r w:rsidRPr="0006784C">
        <w:rPr>
          <w:sz w:val="28"/>
          <w:szCs w:val="28"/>
        </w:rPr>
        <w:t>Высокая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емкость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proofErr w:type="spellStart"/>
      <w:r w:rsidRPr="0006784C"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сельхоз</w:t>
      </w:r>
      <w:r>
        <w:rPr>
          <w:sz w:val="28"/>
          <w:szCs w:val="28"/>
        </w:rPr>
        <w:t xml:space="preserve">продукции и </w:t>
      </w:r>
      <w:r w:rsidRPr="0006784C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пищевого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производства.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Cs/>
          <w:sz w:val="28"/>
          <w:szCs w:val="28"/>
        </w:rPr>
      </w:pPr>
      <w:r w:rsidRPr="0006784C">
        <w:rPr>
          <w:bCs/>
          <w:sz w:val="28"/>
          <w:szCs w:val="28"/>
        </w:rPr>
        <w:t>О6.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Находится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разработке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программа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транспортной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инфраструктуры</w:t>
      </w:r>
      <w:r>
        <w:rPr>
          <w:bCs/>
          <w:sz w:val="28"/>
          <w:szCs w:val="28"/>
        </w:rPr>
        <w:t xml:space="preserve"> </w:t>
      </w:r>
      <w:proofErr w:type="spellStart"/>
      <w:r w:rsidRPr="0006784C">
        <w:rPr>
          <w:bCs/>
          <w:sz w:val="28"/>
          <w:szCs w:val="28"/>
        </w:rPr>
        <w:t>Самарско</w:t>
      </w:r>
      <w:proofErr w:type="spellEnd"/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-Тольяттинской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агломерации.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Cs/>
          <w:sz w:val="28"/>
          <w:szCs w:val="28"/>
        </w:rPr>
      </w:pPr>
      <w:r w:rsidRPr="0006784C">
        <w:rPr>
          <w:bCs/>
          <w:sz w:val="28"/>
          <w:szCs w:val="28"/>
        </w:rPr>
        <w:t>О7.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Низкая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инфляция.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Cs/>
          <w:sz w:val="28"/>
          <w:szCs w:val="28"/>
        </w:rPr>
      </w:pPr>
      <w:r w:rsidRPr="0006784C">
        <w:rPr>
          <w:bCs/>
          <w:sz w:val="28"/>
          <w:szCs w:val="28"/>
        </w:rPr>
        <w:t>О8.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Широкая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линейка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банковских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продуктов,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т.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ч.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сельхозпроизводителей.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Cs/>
          <w:sz w:val="28"/>
          <w:szCs w:val="28"/>
        </w:rPr>
      </w:pPr>
      <w:r w:rsidRPr="0006784C">
        <w:rPr>
          <w:bCs/>
          <w:sz w:val="28"/>
          <w:szCs w:val="28"/>
        </w:rPr>
        <w:t>О9.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Активно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развивается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такой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инструмент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инвестиционной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активности,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экономические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форумы.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Cs/>
          <w:sz w:val="28"/>
          <w:szCs w:val="28"/>
        </w:rPr>
      </w:pPr>
      <w:r w:rsidRPr="0006784C">
        <w:rPr>
          <w:bCs/>
          <w:sz w:val="28"/>
          <w:szCs w:val="28"/>
        </w:rPr>
        <w:t>О10.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Развиваются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высокие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технологии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сельском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хозяйстве.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Разрабатывается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программа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компенсации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расходов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использование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новых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технологий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сельском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хозяйстве,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т.ч.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геномная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селекция,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мелиорация.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Cs/>
          <w:sz w:val="28"/>
          <w:szCs w:val="28"/>
        </w:rPr>
      </w:pPr>
      <w:r w:rsidRPr="0006784C">
        <w:rPr>
          <w:bCs/>
          <w:sz w:val="28"/>
          <w:szCs w:val="28"/>
        </w:rPr>
        <w:t>О11.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мировом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рынке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существует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высокий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спрос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бобовые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(соя,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нут)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технические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(лен,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рапс,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</w:t>
      </w:r>
      <w:r w:rsidRPr="0006784C">
        <w:rPr>
          <w:sz w:val="28"/>
          <w:szCs w:val="28"/>
        </w:rPr>
        <w:t>ыжик)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выгодным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ценам,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т.ч.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твердая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пшеница),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экспортный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высок.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sz w:val="28"/>
          <w:szCs w:val="28"/>
        </w:rPr>
      </w:pPr>
      <w:r w:rsidRPr="0006784C">
        <w:rPr>
          <w:sz w:val="28"/>
          <w:szCs w:val="28"/>
        </w:rPr>
        <w:t>О12.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спрос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мировых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рынках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нефть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нефтепродукты.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color w:val="C00000"/>
          <w:sz w:val="28"/>
          <w:szCs w:val="28"/>
        </w:rPr>
      </w:pPr>
      <w:r w:rsidRPr="0006784C">
        <w:rPr>
          <w:sz w:val="28"/>
          <w:szCs w:val="28"/>
        </w:rPr>
        <w:t>О13.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«Один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пояс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путь»,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создающий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благоприятные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экспорта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сельскохозяйственной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продукции.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Cs/>
          <w:sz w:val="28"/>
          <w:szCs w:val="28"/>
        </w:rPr>
      </w:pPr>
      <w:r w:rsidRPr="0006784C">
        <w:rPr>
          <w:bCs/>
          <w:sz w:val="28"/>
          <w:szCs w:val="28"/>
        </w:rPr>
        <w:t>О14.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Самарской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ведется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запуску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«Самарское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качество»,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где</w:t>
      </w:r>
      <w:r>
        <w:rPr>
          <w:bCs/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добровольной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сертификации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получат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поддержку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региональные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местные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марки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товаров.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sz w:val="28"/>
          <w:szCs w:val="28"/>
        </w:rPr>
      </w:pPr>
      <w:r w:rsidRPr="0006784C">
        <w:rPr>
          <w:bCs/>
          <w:sz w:val="28"/>
          <w:szCs w:val="28"/>
        </w:rPr>
        <w:t>О15.</w:t>
      </w:r>
      <w:r>
        <w:rPr>
          <w:bCs/>
          <w:sz w:val="28"/>
          <w:szCs w:val="28"/>
        </w:rPr>
        <w:t xml:space="preserve"> </w:t>
      </w:r>
      <w:r w:rsidRPr="0006784C"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обещает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всестороннюю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проектам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элеваторов,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проектам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сфере.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bCs/>
          <w:sz w:val="28"/>
          <w:szCs w:val="28"/>
        </w:rPr>
      </w:pPr>
      <w:r w:rsidRPr="0006784C">
        <w:rPr>
          <w:bCs/>
          <w:sz w:val="28"/>
          <w:szCs w:val="28"/>
        </w:rPr>
        <w:t>О16.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Послании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Президента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РФ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Федеральному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собранию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1.03.2018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вопросы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качества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жизни,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сбережения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жизни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россиян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являются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приоритетными.</w:t>
      </w:r>
    </w:p>
    <w:p w:rsidR="00653A6D" w:rsidRPr="0006784C" w:rsidRDefault="00653A6D" w:rsidP="00653A6D">
      <w:pPr>
        <w:spacing w:line="360" w:lineRule="auto"/>
        <w:ind w:left="13"/>
        <w:contextualSpacing/>
        <w:jc w:val="both"/>
        <w:rPr>
          <w:sz w:val="28"/>
          <w:szCs w:val="28"/>
        </w:rPr>
      </w:pPr>
      <w:r w:rsidRPr="0006784C">
        <w:rPr>
          <w:bCs/>
          <w:sz w:val="28"/>
          <w:szCs w:val="28"/>
        </w:rPr>
        <w:lastRenderedPageBreak/>
        <w:t>О17.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Разрабатывается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законопроект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РФ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обязательном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распределении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выпускников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учебных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организаций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высшего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образования.</w:t>
      </w:r>
    </w:p>
    <w:p w:rsidR="00653A6D" w:rsidRPr="0006784C" w:rsidRDefault="00653A6D" w:rsidP="00653A6D">
      <w:pPr>
        <w:spacing w:line="360" w:lineRule="auto"/>
        <w:ind w:firstLine="13"/>
        <w:contextualSpacing/>
        <w:jc w:val="both"/>
        <w:rPr>
          <w:sz w:val="28"/>
          <w:szCs w:val="28"/>
        </w:rPr>
      </w:pPr>
      <w:r w:rsidRPr="0006784C">
        <w:rPr>
          <w:bCs/>
          <w:sz w:val="28"/>
          <w:szCs w:val="28"/>
        </w:rPr>
        <w:t>О18.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</w:t>
      </w:r>
      <w:r w:rsidRPr="0006784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качеству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инфраструктуры,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созданной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бизнеса,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5-м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стране.</w:t>
      </w:r>
    </w:p>
    <w:p w:rsidR="00653A6D" w:rsidRPr="0006784C" w:rsidRDefault="00653A6D" w:rsidP="00653A6D">
      <w:pPr>
        <w:spacing w:line="360" w:lineRule="auto"/>
        <w:jc w:val="both"/>
        <w:rPr>
          <w:sz w:val="28"/>
          <w:szCs w:val="28"/>
        </w:rPr>
      </w:pPr>
      <w:r w:rsidRPr="0006784C">
        <w:rPr>
          <w:bCs/>
          <w:sz w:val="28"/>
          <w:szCs w:val="28"/>
        </w:rPr>
        <w:t>О19.</w:t>
      </w:r>
      <w:r>
        <w:rPr>
          <w:bCs/>
          <w:sz w:val="28"/>
          <w:szCs w:val="28"/>
        </w:rPr>
        <w:t xml:space="preserve"> </w:t>
      </w:r>
      <w:r w:rsidRPr="0006784C">
        <w:rPr>
          <w:sz w:val="28"/>
          <w:szCs w:val="28"/>
        </w:rPr>
        <w:t>Приоритетное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поддержки,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льготы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предприятиям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участникам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программ.</w:t>
      </w:r>
    </w:p>
    <w:p w:rsidR="00653A6D" w:rsidRPr="0006784C" w:rsidRDefault="00653A6D" w:rsidP="00653A6D">
      <w:pPr>
        <w:spacing w:line="360" w:lineRule="auto"/>
        <w:jc w:val="both"/>
        <w:rPr>
          <w:sz w:val="28"/>
          <w:szCs w:val="28"/>
        </w:rPr>
      </w:pPr>
      <w:r w:rsidRPr="0006784C">
        <w:rPr>
          <w:sz w:val="28"/>
          <w:szCs w:val="28"/>
        </w:rPr>
        <w:t>О20.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чистой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воды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(родников).</w:t>
      </w:r>
    </w:p>
    <w:p w:rsidR="00653A6D" w:rsidRPr="0006784C" w:rsidRDefault="00653A6D" w:rsidP="00653A6D">
      <w:pPr>
        <w:pStyle w:val="1"/>
        <w:spacing w:before="0" w:line="360" w:lineRule="auto"/>
        <w:rPr>
          <w:rFonts w:ascii="Times New Roman" w:hAnsi="Times New Roman" w:cs="Times New Roman"/>
          <w:i/>
          <w:color w:val="000000" w:themeColor="text1"/>
        </w:rPr>
      </w:pPr>
      <w:r w:rsidRPr="0006784C">
        <w:rPr>
          <w:rFonts w:ascii="Times New Roman" w:hAnsi="Times New Roman" w:cs="Times New Roman"/>
          <w:i/>
          <w:color w:val="000000" w:themeColor="text1"/>
        </w:rPr>
        <w:t>Угрозы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06784C">
        <w:rPr>
          <w:rFonts w:ascii="Times New Roman" w:hAnsi="Times New Roman" w:cs="Times New Roman"/>
          <w:i/>
          <w:color w:val="000000" w:themeColor="text1"/>
        </w:rPr>
        <w:t>(Т):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T</w:t>
      </w:r>
      <w:r w:rsidRPr="0006784C">
        <w:rPr>
          <w:color w:val="000000"/>
          <w:kern w:val="24"/>
          <w:position w:val="1"/>
          <w:sz w:val="28"/>
          <w:szCs w:val="28"/>
        </w:rPr>
        <w:t>1.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Тенденция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значительного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закупочных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растениеводческой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продукции.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bCs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T</w:t>
      </w:r>
      <w:r w:rsidRPr="0006784C">
        <w:rPr>
          <w:color w:val="000000"/>
          <w:kern w:val="24"/>
          <w:position w:val="1"/>
          <w:sz w:val="28"/>
          <w:szCs w:val="28"/>
        </w:rPr>
        <w:t>2.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Конкуренция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стороны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отечественных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производителей,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производителей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Казахстана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(по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мясу),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Белоруссии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(по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молоку).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Продовольственная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безопасность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Самарской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обеспечена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молоком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мясом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местными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производителями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менее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чем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60%.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bCs/>
          <w:sz w:val="28"/>
          <w:szCs w:val="28"/>
        </w:rPr>
        <w:t>Т3.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Область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испытывает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недостаток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местах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хранения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зерна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06784C">
        <w:rPr>
          <w:bCs/>
          <w:sz w:val="28"/>
          <w:szCs w:val="28"/>
        </w:rPr>
        <w:t>элеваторах.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T</w:t>
      </w:r>
      <w:r w:rsidRPr="0006784C">
        <w:rPr>
          <w:color w:val="000000"/>
          <w:kern w:val="24"/>
          <w:position w:val="1"/>
          <w:sz w:val="28"/>
          <w:szCs w:val="28"/>
        </w:rPr>
        <w:t>4.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Среди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молодежи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не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популярна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мысль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переезде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из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города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сельскую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местность.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T</w:t>
      </w:r>
      <w:r w:rsidRPr="0006784C">
        <w:rPr>
          <w:color w:val="000000"/>
          <w:kern w:val="24"/>
          <w:position w:val="1"/>
          <w:sz w:val="28"/>
          <w:szCs w:val="28"/>
        </w:rPr>
        <w:t>5.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Высокая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степень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proofErr w:type="spellStart"/>
      <w:r w:rsidRPr="0006784C">
        <w:rPr>
          <w:color w:val="000000"/>
          <w:kern w:val="24"/>
          <w:position w:val="1"/>
          <w:sz w:val="28"/>
          <w:szCs w:val="28"/>
        </w:rPr>
        <w:t>закредитованности</w:t>
      </w:r>
      <w:proofErr w:type="spellEnd"/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крестьянских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фермерских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хозяйств.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T</w:t>
      </w:r>
      <w:r w:rsidRPr="0006784C">
        <w:rPr>
          <w:color w:val="000000"/>
          <w:kern w:val="24"/>
          <w:position w:val="1"/>
          <w:sz w:val="28"/>
          <w:szCs w:val="28"/>
        </w:rPr>
        <w:t>6.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Отсутствие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действенной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отечественной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системы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страхования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сельскохозяйственных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рисков.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T</w:t>
      </w:r>
      <w:r w:rsidRPr="0006784C">
        <w:rPr>
          <w:color w:val="000000"/>
          <w:kern w:val="24"/>
          <w:position w:val="1"/>
          <w:sz w:val="28"/>
          <w:szCs w:val="28"/>
        </w:rPr>
        <w:t>7.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Климатические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изменения,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которые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увеличивают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риски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для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про</w:t>
      </w:r>
      <w:r>
        <w:rPr>
          <w:color w:val="000000"/>
          <w:kern w:val="24"/>
          <w:position w:val="1"/>
          <w:sz w:val="28"/>
          <w:szCs w:val="28"/>
        </w:rPr>
        <w:t xml:space="preserve">изводства сельскохозяйственной </w:t>
      </w:r>
      <w:r w:rsidRPr="0006784C">
        <w:rPr>
          <w:color w:val="000000"/>
          <w:kern w:val="24"/>
          <w:position w:val="1"/>
          <w:sz w:val="28"/>
          <w:szCs w:val="28"/>
        </w:rPr>
        <w:t>продукции.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T</w:t>
      </w:r>
      <w:r w:rsidRPr="0006784C">
        <w:rPr>
          <w:color w:val="000000"/>
          <w:kern w:val="24"/>
          <w:position w:val="1"/>
          <w:sz w:val="28"/>
          <w:szCs w:val="28"/>
        </w:rPr>
        <w:t>8.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Падение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промышленного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производства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Самарской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области.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T</w:t>
      </w:r>
      <w:r w:rsidRPr="0006784C">
        <w:rPr>
          <w:color w:val="000000"/>
          <w:kern w:val="24"/>
          <w:position w:val="1"/>
          <w:sz w:val="28"/>
          <w:szCs w:val="28"/>
        </w:rPr>
        <w:t>9.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Падение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инвестиционной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активности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в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Самарской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области.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color w:val="000000"/>
          <w:kern w:val="24"/>
          <w:position w:val="1"/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06784C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Кинельский</w:t>
      </w:r>
    </w:p>
    <w:p w:rsidR="00653A6D" w:rsidRPr="0006784C" w:rsidRDefault="00653A6D" w:rsidP="00653A6D">
      <w:pPr>
        <w:kinsoku w:val="0"/>
        <w:overflowPunct w:val="0"/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lastRenderedPageBreak/>
        <w:t>T</w:t>
      </w:r>
      <w:r w:rsidRPr="0006784C">
        <w:rPr>
          <w:color w:val="000000"/>
          <w:kern w:val="24"/>
          <w:position w:val="1"/>
          <w:sz w:val="28"/>
          <w:szCs w:val="28"/>
        </w:rPr>
        <w:t>11.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прошедшие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вырос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раза.</w:t>
      </w:r>
    </w:p>
    <w:p w:rsidR="00653A6D" w:rsidRPr="0006784C" w:rsidRDefault="00653A6D" w:rsidP="00653A6D">
      <w:pPr>
        <w:spacing w:line="360" w:lineRule="auto"/>
        <w:rPr>
          <w:sz w:val="28"/>
          <w:szCs w:val="28"/>
        </w:rPr>
      </w:pPr>
      <w:r w:rsidRPr="0006784C">
        <w:rPr>
          <w:color w:val="000000"/>
          <w:kern w:val="24"/>
          <w:position w:val="1"/>
          <w:sz w:val="28"/>
          <w:szCs w:val="28"/>
          <w:lang w:val="en-US"/>
        </w:rPr>
        <w:t>T</w:t>
      </w:r>
      <w:r w:rsidRPr="0006784C">
        <w:rPr>
          <w:color w:val="000000"/>
          <w:kern w:val="24"/>
          <w:position w:val="1"/>
          <w:sz w:val="28"/>
          <w:szCs w:val="28"/>
        </w:rPr>
        <w:t>12.</w:t>
      </w:r>
      <w:r>
        <w:rPr>
          <w:color w:val="000000"/>
          <w:kern w:val="24"/>
          <w:position w:val="1"/>
          <w:sz w:val="28"/>
          <w:szCs w:val="28"/>
        </w:rPr>
        <w:t xml:space="preserve"> </w:t>
      </w:r>
      <w:r w:rsidRPr="0006784C">
        <w:rPr>
          <w:color w:val="000000"/>
          <w:kern w:val="24"/>
          <w:position w:val="1"/>
          <w:sz w:val="28"/>
          <w:szCs w:val="28"/>
        </w:rPr>
        <w:t>Р</w:t>
      </w:r>
      <w:proofErr w:type="spellStart"/>
      <w:r w:rsidRPr="0006784C">
        <w:rPr>
          <w:sz w:val="28"/>
          <w:szCs w:val="28"/>
        </w:rPr>
        <w:t>аботу</w:t>
      </w:r>
      <w:proofErr w:type="spellEnd"/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АПК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региона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затрудняет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адекватной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бизнеса.</w:t>
      </w:r>
    </w:p>
    <w:p w:rsidR="00653A6D" w:rsidRPr="0006784C" w:rsidRDefault="00653A6D" w:rsidP="00653A6D">
      <w:pPr>
        <w:tabs>
          <w:tab w:val="left" w:pos="3460"/>
        </w:tabs>
        <w:spacing w:line="360" w:lineRule="auto"/>
        <w:jc w:val="both"/>
        <w:rPr>
          <w:sz w:val="28"/>
          <w:szCs w:val="28"/>
        </w:rPr>
      </w:pPr>
      <w:r w:rsidRPr="0006784C">
        <w:rPr>
          <w:sz w:val="28"/>
          <w:szCs w:val="28"/>
        </w:rPr>
        <w:t>Т13.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Выделенное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врачам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учителям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жилье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передается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ведомственное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пользование.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обслуживании,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улучшении.</w:t>
      </w:r>
    </w:p>
    <w:p w:rsidR="00653A6D" w:rsidRPr="0006784C" w:rsidRDefault="00653A6D" w:rsidP="00653A6D">
      <w:pPr>
        <w:tabs>
          <w:tab w:val="left" w:pos="3460"/>
        </w:tabs>
        <w:spacing w:line="360" w:lineRule="auto"/>
        <w:jc w:val="both"/>
        <w:rPr>
          <w:rFonts w:eastAsia="Arial"/>
          <w:sz w:val="28"/>
          <w:szCs w:val="28"/>
        </w:rPr>
      </w:pPr>
      <w:r w:rsidRPr="0006784C">
        <w:rPr>
          <w:rFonts w:eastAsia="Arial"/>
          <w:sz w:val="28"/>
          <w:szCs w:val="28"/>
        </w:rPr>
        <w:t>Т14.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Низкая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востребованность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коммерческого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жилья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из-за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низких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доходов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населения.</w:t>
      </w:r>
    </w:p>
    <w:p w:rsidR="00653A6D" w:rsidRDefault="00653A6D" w:rsidP="00653A6D">
      <w:pPr>
        <w:tabs>
          <w:tab w:val="left" w:pos="3460"/>
        </w:tabs>
        <w:spacing w:line="360" w:lineRule="auto"/>
        <w:jc w:val="both"/>
        <w:rPr>
          <w:rFonts w:eastAsia="Arial"/>
          <w:sz w:val="28"/>
          <w:szCs w:val="28"/>
        </w:rPr>
      </w:pPr>
      <w:r w:rsidRPr="0006784C">
        <w:rPr>
          <w:rFonts w:eastAsia="Arial"/>
          <w:sz w:val="28"/>
          <w:szCs w:val="28"/>
        </w:rPr>
        <w:t>Т15.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По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отдельной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части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дорог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не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разграничены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полномочия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между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региональным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муниципальным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уровнями</w:t>
      </w:r>
      <w:r>
        <w:rPr>
          <w:rFonts w:eastAsia="Arial"/>
          <w:sz w:val="28"/>
          <w:szCs w:val="28"/>
        </w:rPr>
        <w:t xml:space="preserve"> </w:t>
      </w:r>
      <w:r w:rsidRPr="0006784C">
        <w:rPr>
          <w:rFonts w:eastAsia="Arial"/>
          <w:sz w:val="28"/>
          <w:szCs w:val="28"/>
        </w:rPr>
        <w:t>власти.</w:t>
      </w:r>
    </w:p>
    <w:p w:rsidR="00320EEB" w:rsidRDefault="00320EEB"/>
    <w:p w:rsidR="00320EEB" w:rsidRDefault="00320EEB"/>
    <w:p w:rsidR="00320EEB" w:rsidRPr="00416A40" w:rsidRDefault="00416A40" w:rsidP="00416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инвестиционной привлекательности территории</w:t>
      </w:r>
    </w:p>
    <w:p w:rsidR="00320EEB" w:rsidRDefault="00320EEB"/>
    <w:p w:rsidR="00320EEB" w:rsidRDefault="00320EEB"/>
    <w:p w:rsidR="00320EEB" w:rsidRDefault="00320EEB"/>
    <w:p w:rsidR="00653A6D" w:rsidRPr="0006784C" w:rsidRDefault="00653A6D" w:rsidP="00653A6D">
      <w:pPr>
        <w:spacing w:line="360" w:lineRule="auto"/>
        <w:ind w:firstLine="708"/>
        <w:jc w:val="both"/>
        <w:rPr>
          <w:sz w:val="28"/>
          <w:szCs w:val="28"/>
        </w:rPr>
      </w:pP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инвестиционной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привлекательности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производств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модернизации,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проводиться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организационного,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правового,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энергоресурсам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гибкого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тарифов,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оптимальной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удобной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подключения,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средних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финансовым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ресурсам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гибкого,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льготного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кредитования,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лизинговых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proofErr w:type="spellStart"/>
      <w:r w:rsidRPr="0006784C">
        <w:rPr>
          <w:sz w:val="28"/>
          <w:szCs w:val="28"/>
        </w:rPr>
        <w:t>стартапов</w:t>
      </w:r>
      <w:proofErr w:type="spellEnd"/>
      <w:r w:rsidRPr="000678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фактором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станет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высокотехнологичной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доступной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инфраструктуры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хранения,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перевозки,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доставки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сельскохозяйственной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proofErr w:type="spellStart"/>
      <w:r w:rsidRPr="0006784C">
        <w:rPr>
          <w:sz w:val="28"/>
          <w:szCs w:val="28"/>
        </w:rPr>
        <w:t>сельхозпереработки</w:t>
      </w:r>
      <w:proofErr w:type="spellEnd"/>
      <w:r w:rsidRPr="000678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высококвалифицированных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кадров.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Определяющим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станет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экологии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(очистка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водоемов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береговых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зон,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чистой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качественной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водой).</w:t>
      </w:r>
    </w:p>
    <w:p w:rsidR="00653A6D" w:rsidRPr="0006784C" w:rsidRDefault="00653A6D" w:rsidP="00653A6D">
      <w:pPr>
        <w:kinsoku w:val="0"/>
        <w:overflowPunct w:val="0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06784C">
        <w:rPr>
          <w:spacing w:val="2"/>
          <w:sz w:val="28"/>
          <w:szCs w:val="28"/>
        </w:rPr>
        <w:lastRenderedPageBreak/>
        <w:t>Второй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горизонт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планирования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зада</w:t>
      </w:r>
      <w:r>
        <w:rPr>
          <w:spacing w:val="2"/>
          <w:sz w:val="28"/>
          <w:szCs w:val="28"/>
        </w:rPr>
        <w:t>ю</w:t>
      </w:r>
      <w:r w:rsidRPr="0006784C">
        <w:rPr>
          <w:spacing w:val="2"/>
          <w:sz w:val="28"/>
          <w:szCs w:val="28"/>
        </w:rPr>
        <w:t>т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точки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роста,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которые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создают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условия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для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выявления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консолидации</w:t>
      </w:r>
      <w:r>
        <w:rPr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новых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источников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социально-экономического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развития.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Эти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точки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роста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связаны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новыми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перспективными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направлениями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хозяйственной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и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социальной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активности,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в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которых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добавленная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стоимость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создается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за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счет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кооперативных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связей,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коммуникационной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среды,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механизмов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стимулирования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внутренней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инвестиционной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активности,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внедрения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новых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производственных,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информационных,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коммуникационных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технологий</w:t>
      </w:r>
      <w:r w:rsidRPr="0006784C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Эти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механизмы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создают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среду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для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привлечения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внешних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инвестиций.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Одновременно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они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позволяют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нейтрализовать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внешние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угрозы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(</w:t>
      </w:r>
      <w:r w:rsidRPr="0006784C">
        <w:rPr>
          <w:sz w:val="28"/>
          <w:szCs w:val="28"/>
        </w:rPr>
        <w:t>тенденция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значительного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закупочных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растениеводческой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06784C">
        <w:rPr>
          <w:kern w:val="2"/>
          <w:position w:val="1"/>
          <w:sz w:val="28"/>
          <w:szCs w:val="28"/>
        </w:rPr>
        <w:t>конкуренция</w:t>
      </w:r>
      <w:r>
        <w:rPr>
          <w:kern w:val="2"/>
          <w:position w:val="1"/>
          <w:sz w:val="28"/>
          <w:szCs w:val="28"/>
        </w:rPr>
        <w:t xml:space="preserve"> </w:t>
      </w:r>
      <w:r w:rsidRPr="0006784C">
        <w:rPr>
          <w:kern w:val="2"/>
          <w:position w:val="1"/>
          <w:sz w:val="28"/>
          <w:szCs w:val="28"/>
        </w:rPr>
        <w:t>со</w:t>
      </w:r>
      <w:r>
        <w:rPr>
          <w:kern w:val="2"/>
          <w:position w:val="1"/>
          <w:sz w:val="28"/>
          <w:szCs w:val="28"/>
        </w:rPr>
        <w:t xml:space="preserve"> </w:t>
      </w:r>
      <w:r w:rsidRPr="0006784C">
        <w:rPr>
          <w:kern w:val="2"/>
          <w:position w:val="1"/>
          <w:sz w:val="28"/>
          <w:szCs w:val="28"/>
        </w:rPr>
        <w:t>стороны</w:t>
      </w:r>
      <w:r>
        <w:rPr>
          <w:kern w:val="2"/>
          <w:position w:val="1"/>
          <w:sz w:val="28"/>
          <w:szCs w:val="28"/>
        </w:rPr>
        <w:t xml:space="preserve"> </w:t>
      </w:r>
      <w:r w:rsidRPr="0006784C">
        <w:rPr>
          <w:kern w:val="2"/>
          <w:position w:val="1"/>
          <w:sz w:val="28"/>
          <w:szCs w:val="28"/>
        </w:rPr>
        <w:t>отечественных</w:t>
      </w:r>
      <w:r>
        <w:rPr>
          <w:kern w:val="2"/>
          <w:position w:val="1"/>
          <w:sz w:val="28"/>
          <w:szCs w:val="28"/>
        </w:rPr>
        <w:t xml:space="preserve"> </w:t>
      </w:r>
      <w:r w:rsidRPr="0006784C">
        <w:rPr>
          <w:kern w:val="2"/>
          <w:position w:val="1"/>
          <w:sz w:val="28"/>
          <w:szCs w:val="28"/>
        </w:rPr>
        <w:t>производителей,</w:t>
      </w:r>
      <w:r>
        <w:rPr>
          <w:kern w:val="2"/>
          <w:position w:val="1"/>
          <w:sz w:val="28"/>
          <w:szCs w:val="28"/>
        </w:rPr>
        <w:t xml:space="preserve"> </w:t>
      </w:r>
      <w:r w:rsidRPr="0006784C">
        <w:rPr>
          <w:kern w:val="2"/>
          <w:position w:val="1"/>
          <w:sz w:val="28"/>
          <w:szCs w:val="28"/>
        </w:rPr>
        <w:t>производителей</w:t>
      </w:r>
      <w:r>
        <w:rPr>
          <w:kern w:val="2"/>
          <w:position w:val="1"/>
          <w:sz w:val="28"/>
          <w:szCs w:val="28"/>
        </w:rPr>
        <w:t xml:space="preserve"> </w:t>
      </w:r>
      <w:r w:rsidRPr="0006784C">
        <w:rPr>
          <w:kern w:val="2"/>
          <w:position w:val="1"/>
          <w:sz w:val="28"/>
          <w:szCs w:val="28"/>
        </w:rPr>
        <w:t>Казахстана,</w:t>
      </w:r>
      <w:r>
        <w:rPr>
          <w:kern w:val="2"/>
          <w:position w:val="1"/>
          <w:sz w:val="28"/>
          <w:szCs w:val="28"/>
        </w:rPr>
        <w:t xml:space="preserve"> </w:t>
      </w:r>
      <w:r w:rsidRPr="0006784C">
        <w:rPr>
          <w:kern w:val="2"/>
          <w:position w:val="1"/>
          <w:sz w:val="28"/>
          <w:szCs w:val="28"/>
        </w:rPr>
        <w:t>Белоруссии</w:t>
      </w:r>
      <w:r>
        <w:rPr>
          <w:kern w:val="2"/>
          <w:position w:val="1"/>
          <w:sz w:val="28"/>
          <w:szCs w:val="28"/>
        </w:rPr>
        <w:t xml:space="preserve"> </w:t>
      </w:r>
      <w:r w:rsidRPr="0006784C">
        <w:rPr>
          <w:kern w:val="2"/>
          <w:position w:val="1"/>
          <w:sz w:val="28"/>
          <w:szCs w:val="28"/>
        </w:rPr>
        <w:t>и</w:t>
      </w:r>
      <w:r>
        <w:rPr>
          <w:kern w:val="2"/>
          <w:position w:val="1"/>
          <w:sz w:val="28"/>
          <w:szCs w:val="28"/>
        </w:rPr>
        <w:t xml:space="preserve"> </w:t>
      </w:r>
      <w:r w:rsidRPr="0006784C">
        <w:rPr>
          <w:kern w:val="2"/>
          <w:position w:val="1"/>
          <w:sz w:val="28"/>
          <w:szCs w:val="28"/>
        </w:rPr>
        <w:t>др.),</w:t>
      </w:r>
      <w:r>
        <w:rPr>
          <w:kern w:val="2"/>
          <w:position w:val="1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устранить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влияние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слабых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сторон,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таких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как</w:t>
      </w:r>
      <w:r>
        <w:rPr>
          <w:spacing w:val="2"/>
          <w:sz w:val="28"/>
          <w:szCs w:val="28"/>
        </w:rPr>
        <w:t xml:space="preserve"> </w:t>
      </w:r>
      <w:bookmarkStart w:id="2" w:name="_Hlk520692039"/>
      <w:r w:rsidRPr="0006784C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расширения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производства</w:t>
      </w:r>
      <w:bookmarkEnd w:id="2"/>
      <w:r w:rsidRPr="000678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недостаток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сельхозпредприятиях,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физически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морально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устаревшие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животноводческих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предприятиях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</w:p>
    <w:p w:rsidR="00653A6D" w:rsidRDefault="00653A6D"/>
    <w:p w:rsidR="00653A6D" w:rsidRDefault="00653A6D"/>
    <w:p w:rsidR="00653A6D" w:rsidRPr="0006784C" w:rsidRDefault="00653A6D" w:rsidP="00653A6D">
      <w:pPr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06784C">
        <w:rPr>
          <w:spacing w:val="2"/>
          <w:sz w:val="28"/>
          <w:szCs w:val="28"/>
          <w:u w:val="single"/>
        </w:rPr>
        <w:t>Третий</w:t>
      </w:r>
      <w:r>
        <w:rPr>
          <w:spacing w:val="2"/>
          <w:sz w:val="28"/>
          <w:szCs w:val="28"/>
          <w:u w:val="single"/>
        </w:rPr>
        <w:t xml:space="preserve"> </w:t>
      </w:r>
      <w:r w:rsidRPr="0006784C">
        <w:rPr>
          <w:spacing w:val="2"/>
          <w:sz w:val="28"/>
          <w:szCs w:val="28"/>
          <w:u w:val="single"/>
        </w:rPr>
        <w:t>горизонт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планирования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качестве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точек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роста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выявляет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новые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отрасли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хозяйствования,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которые</w:t>
      </w:r>
      <w:r>
        <w:rPr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аккумулируют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новейшие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производственные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и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информационные</w:t>
      </w:r>
      <w:r>
        <w:rPr>
          <w:i/>
          <w:spacing w:val="2"/>
          <w:sz w:val="28"/>
          <w:szCs w:val="28"/>
        </w:rPr>
        <w:t xml:space="preserve"> </w:t>
      </w:r>
      <w:r w:rsidRPr="0006784C">
        <w:rPr>
          <w:i/>
          <w:spacing w:val="2"/>
          <w:sz w:val="28"/>
          <w:szCs w:val="28"/>
        </w:rPr>
        <w:t>технологии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позволяют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максимально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использовать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внешние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возможности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для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развития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муниципального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района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Кинельский,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привлекать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внешние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инвестиции.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Эти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точки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роста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представлены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как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традиционными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сферами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производства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социальной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жизни,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так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новыми,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обеспечивающими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социально-экономическое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развитие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муниципального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района</w:t>
      </w:r>
      <w:r>
        <w:rPr>
          <w:spacing w:val="2"/>
          <w:sz w:val="28"/>
          <w:szCs w:val="28"/>
        </w:rPr>
        <w:t xml:space="preserve"> </w:t>
      </w:r>
      <w:proofErr w:type="spellStart"/>
      <w:r w:rsidRPr="0006784C">
        <w:rPr>
          <w:spacing w:val="2"/>
          <w:sz w:val="28"/>
          <w:szCs w:val="28"/>
        </w:rPr>
        <w:t>Кинельский</w:t>
      </w:r>
      <w:proofErr w:type="spellEnd"/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рамках</w:t>
      </w:r>
      <w:r>
        <w:rPr>
          <w:spacing w:val="2"/>
          <w:sz w:val="28"/>
          <w:szCs w:val="28"/>
        </w:rPr>
        <w:t xml:space="preserve"> </w:t>
      </w:r>
      <w:proofErr w:type="spellStart"/>
      <w:r w:rsidRPr="0006784C">
        <w:rPr>
          <w:spacing w:val="2"/>
          <w:sz w:val="28"/>
          <w:szCs w:val="28"/>
        </w:rPr>
        <w:t>Самарско</w:t>
      </w:r>
      <w:proofErr w:type="spellEnd"/>
      <w:r w:rsidRPr="0006784C">
        <w:rPr>
          <w:spacing w:val="2"/>
          <w:sz w:val="28"/>
          <w:szCs w:val="28"/>
        </w:rPr>
        <w:t>-Тольяттинской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агломерации.</w:t>
      </w:r>
    </w:p>
    <w:p w:rsidR="00653A6D" w:rsidRPr="0006784C" w:rsidRDefault="00653A6D" w:rsidP="00653A6D">
      <w:pPr>
        <w:spacing w:line="360" w:lineRule="auto"/>
        <w:ind w:firstLine="708"/>
        <w:jc w:val="both"/>
        <w:rPr>
          <w:spacing w:val="2"/>
          <w:sz w:val="28"/>
          <w:szCs w:val="28"/>
        </w:rPr>
      </w:pPr>
      <w:r w:rsidRPr="0006784C">
        <w:rPr>
          <w:spacing w:val="2"/>
          <w:sz w:val="28"/>
          <w:szCs w:val="28"/>
        </w:rPr>
        <w:t>Точками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роста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  <w:u w:val="single"/>
        </w:rPr>
        <w:t>на</w:t>
      </w:r>
      <w:r>
        <w:rPr>
          <w:spacing w:val="2"/>
          <w:sz w:val="28"/>
          <w:szCs w:val="28"/>
          <w:u w:val="single"/>
        </w:rPr>
        <w:t xml:space="preserve"> </w:t>
      </w:r>
      <w:r w:rsidRPr="0006784C">
        <w:rPr>
          <w:spacing w:val="2"/>
          <w:sz w:val="28"/>
          <w:szCs w:val="28"/>
          <w:u w:val="single"/>
        </w:rPr>
        <w:t>третьем</w:t>
      </w:r>
      <w:r>
        <w:rPr>
          <w:spacing w:val="2"/>
          <w:sz w:val="28"/>
          <w:szCs w:val="28"/>
          <w:u w:val="single"/>
        </w:rPr>
        <w:t xml:space="preserve"> </w:t>
      </w:r>
      <w:r w:rsidRPr="0006784C">
        <w:rPr>
          <w:spacing w:val="2"/>
          <w:sz w:val="28"/>
          <w:szCs w:val="28"/>
          <w:u w:val="single"/>
        </w:rPr>
        <w:t>этапе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реализации</w:t>
      </w:r>
      <w:r>
        <w:rPr>
          <w:spacing w:val="2"/>
          <w:sz w:val="28"/>
          <w:szCs w:val="28"/>
        </w:rPr>
        <w:t xml:space="preserve"> </w:t>
      </w:r>
      <w:r w:rsidRPr="00051B07">
        <w:rPr>
          <w:spacing w:val="2"/>
          <w:sz w:val="28"/>
          <w:szCs w:val="28"/>
        </w:rPr>
        <w:t>Стратегии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станут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сельхозпредприятия,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связанные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единой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информационной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системой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мониторинга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качества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продукции,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транспортной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логистикой,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сбытом,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кредитованием,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сетевым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партнерством,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вертикальной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горизонтальной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lastRenderedPageBreak/>
        <w:t>кооперацией.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Эти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предприятия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будут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открыты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для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инновационных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процессов,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устойчивость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эффективность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которых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будет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определяться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системой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коммуникационных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связей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между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образовательными,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научными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производственными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системами.</w:t>
      </w:r>
      <w:r>
        <w:rPr>
          <w:spacing w:val="2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8"/>
        <w:jc w:val="both"/>
        <w:rPr>
          <w:spacing w:val="2"/>
          <w:sz w:val="28"/>
          <w:szCs w:val="28"/>
        </w:rPr>
      </w:pPr>
      <w:r w:rsidRPr="0006784C">
        <w:rPr>
          <w:spacing w:val="2"/>
          <w:sz w:val="28"/>
          <w:szCs w:val="28"/>
          <w:u w:val="single"/>
        </w:rPr>
        <w:t>Вторая</w:t>
      </w:r>
      <w:r>
        <w:rPr>
          <w:spacing w:val="2"/>
          <w:sz w:val="28"/>
          <w:szCs w:val="28"/>
          <w:u w:val="single"/>
        </w:rPr>
        <w:t xml:space="preserve"> </w:t>
      </w:r>
      <w:r w:rsidRPr="0006784C">
        <w:rPr>
          <w:spacing w:val="2"/>
          <w:sz w:val="28"/>
          <w:szCs w:val="28"/>
          <w:u w:val="single"/>
        </w:rPr>
        <w:t>точка</w:t>
      </w:r>
      <w:r>
        <w:rPr>
          <w:spacing w:val="2"/>
          <w:sz w:val="28"/>
          <w:szCs w:val="28"/>
          <w:u w:val="single"/>
        </w:rPr>
        <w:t xml:space="preserve"> </w:t>
      </w:r>
      <w:r w:rsidRPr="0006784C">
        <w:rPr>
          <w:spacing w:val="2"/>
          <w:sz w:val="28"/>
          <w:szCs w:val="28"/>
          <w:u w:val="single"/>
        </w:rPr>
        <w:t>роста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это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новая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отрасль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туристские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предприятия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предприятия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индустрии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гостеприимства,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входящие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туристско-рекреационный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кластер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Самарской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области,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также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транспортные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пассажирские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ко</w:t>
      </w:r>
      <w:r>
        <w:rPr>
          <w:spacing w:val="2"/>
          <w:sz w:val="28"/>
          <w:szCs w:val="28"/>
        </w:rPr>
        <w:t>м</w:t>
      </w:r>
      <w:r w:rsidRPr="0006784C">
        <w:rPr>
          <w:spacing w:val="2"/>
          <w:sz w:val="28"/>
          <w:szCs w:val="28"/>
        </w:rPr>
        <w:t>пании,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связывающие</w:t>
      </w:r>
      <w:r>
        <w:rPr>
          <w:spacing w:val="2"/>
          <w:sz w:val="28"/>
          <w:szCs w:val="28"/>
        </w:rPr>
        <w:t xml:space="preserve"> </w:t>
      </w:r>
      <w:proofErr w:type="spellStart"/>
      <w:r w:rsidRPr="0006784C">
        <w:rPr>
          <w:spacing w:val="2"/>
          <w:sz w:val="28"/>
          <w:szCs w:val="28"/>
        </w:rPr>
        <w:t>туристко</w:t>
      </w:r>
      <w:proofErr w:type="spellEnd"/>
      <w:r w:rsidRPr="0006784C">
        <w:rPr>
          <w:spacing w:val="2"/>
          <w:sz w:val="28"/>
          <w:szCs w:val="28"/>
        </w:rPr>
        <w:t>-рекреационные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жилые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зоны.</w:t>
      </w:r>
      <w:r>
        <w:rPr>
          <w:spacing w:val="2"/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jc w:val="both"/>
        <w:rPr>
          <w:sz w:val="28"/>
          <w:szCs w:val="28"/>
        </w:rPr>
      </w:pPr>
      <w:r w:rsidRPr="0006784C">
        <w:rPr>
          <w:spacing w:val="2"/>
          <w:sz w:val="28"/>
          <w:szCs w:val="28"/>
        </w:rPr>
        <w:tab/>
        <w:t>Определяющее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влияние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этих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точек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роста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будет</w:t>
      </w:r>
      <w:r>
        <w:rPr>
          <w:spacing w:val="2"/>
          <w:sz w:val="28"/>
          <w:szCs w:val="28"/>
        </w:rPr>
        <w:t xml:space="preserve"> </w:t>
      </w:r>
      <w:r w:rsidRPr="0006784C">
        <w:rPr>
          <w:spacing w:val="2"/>
          <w:sz w:val="28"/>
          <w:szCs w:val="28"/>
        </w:rPr>
        <w:t>обусловлено</w:t>
      </w:r>
      <w:r>
        <w:rPr>
          <w:spacing w:val="2"/>
          <w:sz w:val="28"/>
          <w:szCs w:val="28"/>
        </w:rPr>
        <w:t xml:space="preserve"> </w:t>
      </w:r>
      <w:r w:rsidRPr="0006784C">
        <w:rPr>
          <w:sz w:val="28"/>
          <w:szCs w:val="28"/>
        </w:rPr>
        <w:t>внедрением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выращивание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культур,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переработки,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обеспечивающих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качественной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сельскохозяйственной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товарам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услугам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развитой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интернет-покупок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доставки,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беспилотных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развитой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системой,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индустрией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гостеприимства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(средства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размещения,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прокаты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снаряжения);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сильным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инвестиционным,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туристским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продуктовым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брендом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Кинельский.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Внешняя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инвестиционная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привлекательность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обусловлена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высоким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качеством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человеческого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уровнем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квалификации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предпринимательской,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инвестиционной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инновационной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активностью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населения.</w:t>
      </w:r>
      <w:r>
        <w:rPr>
          <w:sz w:val="28"/>
          <w:szCs w:val="28"/>
        </w:rPr>
        <w:t xml:space="preserve"> </w:t>
      </w:r>
    </w:p>
    <w:p w:rsidR="00653A6D" w:rsidRDefault="00653A6D"/>
    <w:p w:rsidR="00653A6D" w:rsidRDefault="00653A6D"/>
    <w:p w:rsidR="00653A6D" w:rsidRPr="00416A40" w:rsidRDefault="00653A6D" w:rsidP="00653A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6A40">
        <w:rPr>
          <w:b/>
          <w:sz w:val="28"/>
          <w:szCs w:val="28"/>
        </w:rPr>
        <w:t xml:space="preserve">Оценка финансовых ресурсов и механизмы реализации Стратегии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sz w:val="28"/>
          <w:szCs w:val="28"/>
        </w:rPr>
      </w:pP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целевому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сценарию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2030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экономику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привлечены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суммарном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профинансировано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стратегических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lastRenderedPageBreak/>
        <w:t>млрд.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2026-2030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рублей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sz w:val="28"/>
          <w:szCs w:val="28"/>
        </w:rPr>
      </w:pPr>
      <w:r w:rsidRPr="0006784C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инвестиционным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ресурсом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станут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внебюджетные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(около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90%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стратегических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проектов),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привлеченные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экономику</w:t>
      </w:r>
      <w:r>
        <w:rPr>
          <w:sz w:val="28"/>
          <w:szCs w:val="28"/>
        </w:rPr>
        <w:t xml:space="preserve"> м</w:t>
      </w:r>
      <w:r w:rsidRPr="0006784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механизма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Г(М)ЧП.</w:t>
      </w:r>
      <w:r>
        <w:rPr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sz w:val="28"/>
          <w:szCs w:val="28"/>
        </w:rPr>
      </w:pPr>
      <w:r w:rsidRPr="0006784C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стратегически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инвестиционных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привлеченных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национальным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проектам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программ.</w:t>
      </w:r>
      <w:r>
        <w:rPr>
          <w:sz w:val="28"/>
          <w:szCs w:val="28"/>
        </w:rPr>
        <w:t xml:space="preserve"> </w:t>
      </w:r>
    </w:p>
    <w:p w:rsidR="00653A6D" w:rsidRPr="0006784C" w:rsidRDefault="00653A6D" w:rsidP="00653A6D">
      <w:pPr>
        <w:spacing w:line="360" w:lineRule="auto"/>
        <w:ind w:firstLine="709"/>
        <w:jc w:val="both"/>
        <w:rPr>
          <w:sz w:val="28"/>
          <w:szCs w:val="28"/>
        </w:rPr>
      </w:pPr>
      <w:r w:rsidRPr="0006784C">
        <w:rPr>
          <w:sz w:val="28"/>
          <w:szCs w:val="28"/>
        </w:rPr>
        <w:t>Дополнительным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источником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социально-значимых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стратегических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проектов,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созданием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комфортной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среды,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человеческого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станут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привлекаемые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механизмов</w:t>
      </w:r>
      <w:r>
        <w:rPr>
          <w:sz w:val="28"/>
          <w:szCs w:val="28"/>
        </w:rPr>
        <w:t xml:space="preserve"> </w:t>
      </w:r>
      <w:proofErr w:type="spellStart"/>
      <w:r w:rsidRPr="0006784C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выдвижения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стратегических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инициатив.</w:t>
      </w:r>
    </w:p>
    <w:p w:rsidR="00653A6D" w:rsidRDefault="00653A6D" w:rsidP="00653A6D">
      <w:pPr>
        <w:spacing w:line="360" w:lineRule="auto"/>
        <w:ind w:firstLine="709"/>
        <w:jc w:val="both"/>
        <w:rPr>
          <w:sz w:val="28"/>
          <w:szCs w:val="28"/>
        </w:rPr>
      </w:pP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№172-ФЗ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стратегическом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планировании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от12.03.2018№19-ГД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стратегическом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планировании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детализированы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приоритеты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осуществлена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увязка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мероприятиями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06784C">
        <w:rPr>
          <w:sz w:val="28"/>
          <w:szCs w:val="28"/>
        </w:rPr>
        <w:t>финансированием.</w:t>
      </w:r>
    </w:p>
    <w:p w:rsidR="00416A40" w:rsidRDefault="00416A40" w:rsidP="00653A6D">
      <w:pPr>
        <w:spacing w:line="360" w:lineRule="auto"/>
        <w:ind w:firstLine="709"/>
        <w:jc w:val="both"/>
        <w:rPr>
          <w:sz w:val="28"/>
          <w:szCs w:val="28"/>
        </w:rPr>
      </w:pPr>
    </w:p>
    <w:p w:rsidR="00416A40" w:rsidRPr="0006784C" w:rsidRDefault="00416A40" w:rsidP="00653A6D">
      <w:pPr>
        <w:spacing w:line="360" w:lineRule="auto"/>
        <w:ind w:firstLine="709"/>
        <w:jc w:val="both"/>
        <w:rPr>
          <w:sz w:val="28"/>
          <w:szCs w:val="28"/>
        </w:rPr>
      </w:pPr>
    </w:p>
    <w:p w:rsidR="00653A6D" w:rsidRDefault="00653A6D"/>
    <w:p w:rsidR="00653A6D" w:rsidRDefault="00653A6D"/>
    <w:p w:rsidR="00653A6D" w:rsidRDefault="00653A6D" w:rsidP="00653A6D">
      <w:pPr>
        <w:jc w:val="center"/>
        <w:rPr>
          <w:color w:val="000000" w:themeColor="text1"/>
          <w:sz w:val="28"/>
          <w:szCs w:val="28"/>
        </w:rPr>
      </w:pPr>
      <w:r w:rsidRPr="008F4193">
        <w:rPr>
          <w:color w:val="000000" w:themeColor="text1"/>
          <w:sz w:val="28"/>
          <w:szCs w:val="28"/>
        </w:rPr>
        <w:lastRenderedPageBreak/>
        <w:t>Таблица</w:t>
      </w:r>
      <w:r>
        <w:rPr>
          <w:bCs/>
          <w:color w:val="000000" w:themeColor="text1"/>
          <w:spacing w:val="2"/>
          <w:sz w:val="28"/>
          <w:szCs w:val="28"/>
        </w:rPr>
        <w:t xml:space="preserve"> 14. </w:t>
      </w:r>
      <w:r w:rsidRPr="0006784C">
        <w:rPr>
          <w:color w:val="000000" w:themeColor="text1"/>
          <w:sz w:val="28"/>
          <w:szCs w:val="28"/>
        </w:rPr>
        <w:t>Сравнение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объемов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инвестиций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основной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капитал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душу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населения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муниципальным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районам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Самарской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области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2017</w:t>
      </w:r>
      <w:r>
        <w:rPr>
          <w:color w:val="000000" w:themeColor="text1"/>
          <w:sz w:val="28"/>
          <w:szCs w:val="28"/>
        </w:rPr>
        <w:t xml:space="preserve"> </w:t>
      </w:r>
      <w:r w:rsidRPr="0006784C">
        <w:rPr>
          <w:color w:val="000000" w:themeColor="text1"/>
          <w:sz w:val="28"/>
          <w:szCs w:val="28"/>
        </w:rPr>
        <w:t>г.</w:t>
      </w:r>
    </w:p>
    <w:p w:rsidR="00653A6D" w:rsidRPr="0006784C" w:rsidRDefault="00653A6D" w:rsidP="00653A6D">
      <w:pPr>
        <w:jc w:val="center"/>
        <w:rPr>
          <w:bCs/>
          <w:color w:val="000000" w:themeColor="text1"/>
          <w:spacing w:val="2"/>
          <w:sz w:val="28"/>
          <w:szCs w:val="28"/>
        </w:rPr>
      </w:pPr>
    </w:p>
    <w:tbl>
      <w:tblPr>
        <w:tblW w:w="4335" w:type="pct"/>
        <w:jc w:val="center"/>
        <w:tblLook w:val="04A0" w:firstRow="1" w:lastRow="0" w:firstColumn="1" w:lastColumn="0" w:noHBand="0" w:noVBand="1"/>
      </w:tblPr>
      <w:tblGrid>
        <w:gridCol w:w="4218"/>
        <w:gridCol w:w="1021"/>
        <w:gridCol w:w="1021"/>
        <w:gridCol w:w="1021"/>
        <w:gridCol w:w="1017"/>
      </w:tblGrid>
      <w:tr w:rsidR="00653A6D" w:rsidRPr="0006784C" w:rsidTr="00653A6D">
        <w:trPr>
          <w:trHeight w:val="900"/>
          <w:tblHeader/>
          <w:jc w:val="center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Сумма,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руб.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Ранг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сумме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Темп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роста,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Ранг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темпу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роста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Алексеевский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771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27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Безенчукский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141405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247,6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3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Богатовский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62537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229,5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5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Большеглушицкий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82522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86,4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10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Большечерниговский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29533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31,4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21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Борский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12473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47,3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17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Волжский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209366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97,1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9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Елховский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22036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40,3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19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Исаклинский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3246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5,1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26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Камышлинский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97538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130,2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7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b/>
                <w:sz w:val="24"/>
                <w:szCs w:val="24"/>
              </w:rPr>
            </w:pPr>
            <w:r w:rsidRPr="0006784C">
              <w:rPr>
                <w:b/>
                <w:sz w:val="24"/>
                <w:szCs w:val="24"/>
              </w:rPr>
              <w:t>Кинельский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6784C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6784C">
              <w:rPr>
                <w:b/>
                <w:sz w:val="24"/>
                <w:szCs w:val="24"/>
              </w:rPr>
              <w:t>106582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678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6784C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6784C">
              <w:rPr>
                <w:b/>
                <w:sz w:val="24"/>
                <w:szCs w:val="24"/>
              </w:rPr>
              <w:t>15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Кинель</w:t>
            </w:r>
            <w:proofErr w:type="spellEnd"/>
            <w:r w:rsidRPr="0006784C">
              <w:rPr>
                <w:sz w:val="24"/>
                <w:szCs w:val="24"/>
              </w:rPr>
              <w:t>-Черкасский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31917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27,8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22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Клявлинский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184313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560,5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Кошкинский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79789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66,1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14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Красноармейский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26393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38,6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20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Красноярский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27853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83,2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11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Нефтегорский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383916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382,9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Пестравский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75088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80,2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13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Похвистневский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4479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11,1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25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Приволжский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16066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104,9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8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Сергиевский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120669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204,4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6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Ставропольский</w:t>
            </w:r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32036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40,9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18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Сызранский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39696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235,4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4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36509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24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30764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16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Шенталинский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6155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23</w:t>
            </w:r>
          </w:p>
        </w:tc>
      </w:tr>
      <w:tr w:rsidR="00653A6D" w:rsidRPr="0006784C" w:rsidTr="00653A6D">
        <w:trPr>
          <w:trHeight w:val="300"/>
          <w:jc w:val="center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784C">
              <w:rPr>
                <w:sz w:val="24"/>
                <w:szCs w:val="24"/>
              </w:rPr>
              <w:t>Шигонский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6784C">
              <w:rPr>
                <w:sz w:val="24"/>
                <w:szCs w:val="24"/>
              </w:rPr>
              <w:t>район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3334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25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6784C">
              <w:rPr>
                <w:color w:val="000000"/>
                <w:sz w:val="24"/>
                <w:szCs w:val="24"/>
              </w:rPr>
              <w:t>81,0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D" w:rsidRPr="0006784C" w:rsidRDefault="00653A6D" w:rsidP="00653A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84C">
              <w:rPr>
                <w:sz w:val="24"/>
                <w:szCs w:val="24"/>
              </w:rPr>
              <w:t>12</w:t>
            </w:r>
          </w:p>
        </w:tc>
      </w:tr>
    </w:tbl>
    <w:p w:rsidR="00653A6D" w:rsidRDefault="00653A6D"/>
    <w:p w:rsidR="00653A6D" w:rsidRDefault="00653A6D"/>
    <w:p w:rsidR="00653A6D" w:rsidRDefault="00653A6D"/>
    <w:sectPr w:rsidR="00653A6D" w:rsidSect="004A17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2E9"/>
    <w:multiLevelType w:val="multilevel"/>
    <w:tmpl w:val="623C0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1C12BB"/>
    <w:multiLevelType w:val="multilevel"/>
    <w:tmpl w:val="849AA9F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10D01C22"/>
    <w:multiLevelType w:val="multilevel"/>
    <w:tmpl w:val="EE64FBBC"/>
    <w:lvl w:ilvl="0">
      <w:start w:val="1"/>
      <w:numFmt w:val="decimal"/>
      <w:lvlText w:val="%1"/>
      <w:lvlJc w:val="left"/>
      <w:pPr>
        <w:ind w:left="1375" w:hanging="1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9" w:hanging="1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3" w:hanging="1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7" w:hanging="1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1" w:hanging="1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117F71CB"/>
    <w:multiLevelType w:val="hybridMultilevel"/>
    <w:tmpl w:val="B646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A678A"/>
    <w:multiLevelType w:val="hybridMultilevel"/>
    <w:tmpl w:val="C2363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60E86"/>
    <w:multiLevelType w:val="hybridMultilevel"/>
    <w:tmpl w:val="A490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F1C7E"/>
    <w:multiLevelType w:val="multilevel"/>
    <w:tmpl w:val="730856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CF7019"/>
    <w:multiLevelType w:val="hybridMultilevel"/>
    <w:tmpl w:val="65D8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26E4C"/>
    <w:multiLevelType w:val="hybridMultilevel"/>
    <w:tmpl w:val="5DBA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54E99"/>
    <w:multiLevelType w:val="hybridMultilevel"/>
    <w:tmpl w:val="741E4520"/>
    <w:lvl w:ilvl="0" w:tplc="F304792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F0091"/>
    <w:multiLevelType w:val="hybridMultilevel"/>
    <w:tmpl w:val="EDF8CAC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423514"/>
    <w:multiLevelType w:val="hybridMultilevel"/>
    <w:tmpl w:val="C30A0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A638B"/>
    <w:multiLevelType w:val="hybridMultilevel"/>
    <w:tmpl w:val="F544C70A"/>
    <w:lvl w:ilvl="0" w:tplc="51D838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FF488B"/>
    <w:multiLevelType w:val="hybridMultilevel"/>
    <w:tmpl w:val="677A1D90"/>
    <w:lvl w:ilvl="0" w:tplc="86A0235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A5381"/>
    <w:multiLevelType w:val="hybridMultilevel"/>
    <w:tmpl w:val="9F04F42E"/>
    <w:lvl w:ilvl="0" w:tplc="63E256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E5E32"/>
    <w:multiLevelType w:val="hybridMultilevel"/>
    <w:tmpl w:val="EF10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61F9"/>
    <w:multiLevelType w:val="multilevel"/>
    <w:tmpl w:val="C3DA11D4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7">
    <w:nsid w:val="3F2A6C29"/>
    <w:multiLevelType w:val="hybridMultilevel"/>
    <w:tmpl w:val="6046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52F57"/>
    <w:multiLevelType w:val="hybridMultilevel"/>
    <w:tmpl w:val="A956F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AC3BEE"/>
    <w:multiLevelType w:val="hybridMultilevel"/>
    <w:tmpl w:val="A68C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22FBC"/>
    <w:multiLevelType w:val="hybridMultilevel"/>
    <w:tmpl w:val="EC10C16E"/>
    <w:lvl w:ilvl="0" w:tplc="86A0235C">
      <w:start w:val="1"/>
      <w:numFmt w:val="bullet"/>
      <w:lvlText w:val="─"/>
      <w:lvlJc w:val="left"/>
      <w:pPr>
        <w:ind w:left="1287" w:hanging="360"/>
      </w:pPr>
      <w:rPr>
        <w:rFonts w:ascii="Calibri" w:hAnsi="Calibri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3B4409"/>
    <w:multiLevelType w:val="hybridMultilevel"/>
    <w:tmpl w:val="C2363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30C94"/>
    <w:multiLevelType w:val="hybridMultilevel"/>
    <w:tmpl w:val="E144B0E6"/>
    <w:lvl w:ilvl="0" w:tplc="86A0235C">
      <w:start w:val="1"/>
      <w:numFmt w:val="bullet"/>
      <w:lvlText w:val="─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CB3422"/>
    <w:multiLevelType w:val="hybridMultilevel"/>
    <w:tmpl w:val="66C40510"/>
    <w:lvl w:ilvl="0" w:tplc="86A0235C">
      <w:start w:val="1"/>
      <w:numFmt w:val="bullet"/>
      <w:lvlText w:val="─"/>
      <w:lvlJc w:val="left"/>
      <w:pPr>
        <w:ind w:left="157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C2429FD"/>
    <w:multiLevelType w:val="hybridMultilevel"/>
    <w:tmpl w:val="26AA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420D4"/>
    <w:multiLevelType w:val="hybridMultilevel"/>
    <w:tmpl w:val="417C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11087"/>
    <w:multiLevelType w:val="hybridMultilevel"/>
    <w:tmpl w:val="68982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637D6"/>
    <w:multiLevelType w:val="hybridMultilevel"/>
    <w:tmpl w:val="A36E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C0A3A"/>
    <w:multiLevelType w:val="hybridMultilevel"/>
    <w:tmpl w:val="F246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62D57"/>
    <w:multiLevelType w:val="hybridMultilevel"/>
    <w:tmpl w:val="B030B96A"/>
    <w:lvl w:ilvl="0" w:tplc="031457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3340ED"/>
    <w:multiLevelType w:val="hybridMultilevel"/>
    <w:tmpl w:val="F730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F43C9"/>
    <w:multiLevelType w:val="hybridMultilevel"/>
    <w:tmpl w:val="61427D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B409FF"/>
    <w:multiLevelType w:val="hybridMultilevel"/>
    <w:tmpl w:val="494C7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93188"/>
    <w:multiLevelType w:val="hybridMultilevel"/>
    <w:tmpl w:val="C4BE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B7397"/>
    <w:multiLevelType w:val="hybridMultilevel"/>
    <w:tmpl w:val="63AAC62C"/>
    <w:lvl w:ilvl="0" w:tplc="86A0235C">
      <w:start w:val="1"/>
      <w:numFmt w:val="bullet"/>
      <w:lvlText w:val="─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C250F9"/>
    <w:multiLevelType w:val="hybridMultilevel"/>
    <w:tmpl w:val="64E63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"/>
  </w:num>
  <w:num w:numId="8">
    <w:abstractNumId w:val="19"/>
  </w:num>
  <w:num w:numId="9">
    <w:abstractNumId w:val="3"/>
  </w:num>
  <w:num w:numId="10">
    <w:abstractNumId w:val="28"/>
  </w:num>
  <w:num w:numId="11">
    <w:abstractNumId w:val="8"/>
  </w:num>
  <w:num w:numId="12">
    <w:abstractNumId w:val="17"/>
  </w:num>
  <w:num w:numId="13">
    <w:abstractNumId w:val="25"/>
  </w:num>
  <w:num w:numId="14">
    <w:abstractNumId w:val="35"/>
  </w:num>
  <w:num w:numId="15">
    <w:abstractNumId w:val="5"/>
  </w:num>
  <w:num w:numId="16">
    <w:abstractNumId w:val="30"/>
  </w:num>
  <w:num w:numId="17">
    <w:abstractNumId w:val="10"/>
  </w:num>
  <w:num w:numId="18">
    <w:abstractNumId w:val="21"/>
  </w:num>
  <w:num w:numId="19">
    <w:abstractNumId w:val="4"/>
  </w:num>
  <w:num w:numId="20">
    <w:abstractNumId w:val="32"/>
  </w:num>
  <w:num w:numId="21">
    <w:abstractNumId w:val="15"/>
  </w:num>
  <w:num w:numId="22">
    <w:abstractNumId w:val="33"/>
  </w:num>
  <w:num w:numId="23">
    <w:abstractNumId w:val="27"/>
  </w:num>
  <w:num w:numId="24">
    <w:abstractNumId w:val="7"/>
  </w:num>
  <w:num w:numId="25">
    <w:abstractNumId w:val="24"/>
  </w:num>
  <w:num w:numId="26">
    <w:abstractNumId w:val="26"/>
  </w:num>
  <w:num w:numId="27">
    <w:abstractNumId w:val="11"/>
  </w:num>
  <w:num w:numId="28">
    <w:abstractNumId w:val="29"/>
  </w:num>
  <w:num w:numId="29">
    <w:abstractNumId w:val="13"/>
  </w:num>
  <w:num w:numId="30">
    <w:abstractNumId w:val="22"/>
  </w:num>
  <w:num w:numId="31">
    <w:abstractNumId w:val="34"/>
  </w:num>
  <w:num w:numId="32">
    <w:abstractNumId w:val="23"/>
  </w:num>
  <w:num w:numId="33">
    <w:abstractNumId w:val="6"/>
  </w:num>
  <w:num w:numId="34">
    <w:abstractNumId w:val="0"/>
  </w:num>
  <w:num w:numId="35">
    <w:abstractNumId w:val="31"/>
  </w:num>
  <w:num w:numId="36">
    <w:abstractNumId w:val="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EB"/>
    <w:rsid w:val="00000BC1"/>
    <w:rsid w:val="00006A9B"/>
    <w:rsid w:val="000521D9"/>
    <w:rsid w:val="00055513"/>
    <w:rsid w:val="0009164C"/>
    <w:rsid w:val="00093854"/>
    <w:rsid w:val="000A3FD0"/>
    <w:rsid w:val="000B0526"/>
    <w:rsid w:val="000B328B"/>
    <w:rsid w:val="000B4611"/>
    <w:rsid w:val="000E001A"/>
    <w:rsid w:val="000F2B07"/>
    <w:rsid w:val="001056BA"/>
    <w:rsid w:val="001208DD"/>
    <w:rsid w:val="001242C3"/>
    <w:rsid w:val="00136177"/>
    <w:rsid w:val="001865B0"/>
    <w:rsid w:val="001A06FD"/>
    <w:rsid w:val="001A3DCD"/>
    <w:rsid w:val="001B6269"/>
    <w:rsid w:val="001C3804"/>
    <w:rsid w:val="001D40A0"/>
    <w:rsid w:val="00233AD3"/>
    <w:rsid w:val="00235169"/>
    <w:rsid w:val="00241C28"/>
    <w:rsid w:val="00320EEB"/>
    <w:rsid w:val="00335C7C"/>
    <w:rsid w:val="003824FB"/>
    <w:rsid w:val="003A09B3"/>
    <w:rsid w:val="003F16A6"/>
    <w:rsid w:val="003F432C"/>
    <w:rsid w:val="003F6AFD"/>
    <w:rsid w:val="0040407F"/>
    <w:rsid w:val="00416A40"/>
    <w:rsid w:val="004437D7"/>
    <w:rsid w:val="00474663"/>
    <w:rsid w:val="00482D78"/>
    <w:rsid w:val="004A176D"/>
    <w:rsid w:val="004D21BD"/>
    <w:rsid w:val="004D3CCE"/>
    <w:rsid w:val="004E0DAF"/>
    <w:rsid w:val="004E1E15"/>
    <w:rsid w:val="004F2517"/>
    <w:rsid w:val="00501128"/>
    <w:rsid w:val="005158AC"/>
    <w:rsid w:val="0053248A"/>
    <w:rsid w:val="00560ACA"/>
    <w:rsid w:val="00564903"/>
    <w:rsid w:val="00566DCA"/>
    <w:rsid w:val="00572955"/>
    <w:rsid w:val="00581BD5"/>
    <w:rsid w:val="00590B8F"/>
    <w:rsid w:val="0059449A"/>
    <w:rsid w:val="005A5A90"/>
    <w:rsid w:val="005C144F"/>
    <w:rsid w:val="006029A3"/>
    <w:rsid w:val="0060631A"/>
    <w:rsid w:val="00617C7B"/>
    <w:rsid w:val="00620665"/>
    <w:rsid w:val="0062787E"/>
    <w:rsid w:val="006534C0"/>
    <w:rsid w:val="00653A6D"/>
    <w:rsid w:val="0065794D"/>
    <w:rsid w:val="006A6050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24CA2"/>
    <w:rsid w:val="00745F00"/>
    <w:rsid w:val="0076005A"/>
    <w:rsid w:val="00791CF6"/>
    <w:rsid w:val="007D09B8"/>
    <w:rsid w:val="007E78C6"/>
    <w:rsid w:val="00825FE6"/>
    <w:rsid w:val="0083212E"/>
    <w:rsid w:val="00856277"/>
    <w:rsid w:val="00873346"/>
    <w:rsid w:val="008A790B"/>
    <w:rsid w:val="008B1AE8"/>
    <w:rsid w:val="008E5D4F"/>
    <w:rsid w:val="008F6ECA"/>
    <w:rsid w:val="00915C4B"/>
    <w:rsid w:val="00930E15"/>
    <w:rsid w:val="0093316E"/>
    <w:rsid w:val="00940E6A"/>
    <w:rsid w:val="00951BFD"/>
    <w:rsid w:val="009544FA"/>
    <w:rsid w:val="00980A88"/>
    <w:rsid w:val="00982335"/>
    <w:rsid w:val="009C73BE"/>
    <w:rsid w:val="009F35A4"/>
    <w:rsid w:val="00A05AA1"/>
    <w:rsid w:val="00A11F13"/>
    <w:rsid w:val="00A72764"/>
    <w:rsid w:val="00A75052"/>
    <w:rsid w:val="00A75554"/>
    <w:rsid w:val="00A83587"/>
    <w:rsid w:val="00AA65A8"/>
    <w:rsid w:val="00AD0A04"/>
    <w:rsid w:val="00AD3C7E"/>
    <w:rsid w:val="00AE4882"/>
    <w:rsid w:val="00B05A34"/>
    <w:rsid w:val="00B214FF"/>
    <w:rsid w:val="00B26132"/>
    <w:rsid w:val="00B31F8A"/>
    <w:rsid w:val="00B430EA"/>
    <w:rsid w:val="00B5627F"/>
    <w:rsid w:val="00BB41F4"/>
    <w:rsid w:val="00BB6D40"/>
    <w:rsid w:val="00C0168D"/>
    <w:rsid w:val="00C33CE5"/>
    <w:rsid w:val="00C819B7"/>
    <w:rsid w:val="00C96F92"/>
    <w:rsid w:val="00CD027F"/>
    <w:rsid w:val="00CF037E"/>
    <w:rsid w:val="00CF1721"/>
    <w:rsid w:val="00D340C2"/>
    <w:rsid w:val="00D52DB3"/>
    <w:rsid w:val="00DA51E2"/>
    <w:rsid w:val="00DA53D8"/>
    <w:rsid w:val="00DA7A02"/>
    <w:rsid w:val="00DC4CAA"/>
    <w:rsid w:val="00DD68BD"/>
    <w:rsid w:val="00DE1AD9"/>
    <w:rsid w:val="00DF706E"/>
    <w:rsid w:val="00E00978"/>
    <w:rsid w:val="00E030FC"/>
    <w:rsid w:val="00E1332E"/>
    <w:rsid w:val="00E305FC"/>
    <w:rsid w:val="00E4546A"/>
    <w:rsid w:val="00E53E7B"/>
    <w:rsid w:val="00E7229E"/>
    <w:rsid w:val="00E862B5"/>
    <w:rsid w:val="00F227B0"/>
    <w:rsid w:val="00FB4CE1"/>
    <w:rsid w:val="00FF4415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E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A6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653A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6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A6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6D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3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3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53A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653A6D"/>
  </w:style>
  <w:style w:type="character" w:styleId="a4">
    <w:name w:val="Hyperlink"/>
    <w:basedOn w:val="a0"/>
    <w:uiPriority w:val="99"/>
    <w:unhideWhenUsed/>
    <w:rsid w:val="00653A6D"/>
    <w:rPr>
      <w:color w:val="0000FF"/>
      <w:u w:val="single"/>
    </w:rPr>
  </w:style>
  <w:style w:type="paragraph" w:customStyle="1" w:styleId="headertext">
    <w:name w:val="headertext"/>
    <w:basedOn w:val="a"/>
    <w:rsid w:val="00653A6D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53A6D"/>
  </w:style>
  <w:style w:type="paragraph" w:styleId="a5">
    <w:name w:val="Balloon Text"/>
    <w:basedOn w:val="a"/>
    <w:link w:val="a6"/>
    <w:uiPriority w:val="99"/>
    <w:semiHidden/>
    <w:unhideWhenUsed/>
    <w:rsid w:val="00653A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53A6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653A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653A6D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53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53A6D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53A6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53A6D"/>
    <w:pPr>
      <w:spacing w:line="240" w:lineRule="auto"/>
      <w:jc w:val="center"/>
    </w:pPr>
  </w:style>
  <w:style w:type="character" w:customStyle="1" w:styleId="ab">
    <w:name w:val="Без интервала Знак"/>
    <w:link w:val="aa"/>
    <w:uiPriority w:val="1"/>
    <w:locked/>
    <w:rsid w:val="00653A6D"/>
  </w:style>
  <w:style w:type="paragraph" w:customStyle="1" w:styleId="04220415041a04210422">
    <w:name w:val="04220415041a04210422"/>
    <w:basedOn w:val="a"/>
    <w:rsid w:val="00653A6D"/>
    <w:pPr>
      <w:spacing w:before="45" w:after="105"/>
    </w:pPr>
    <w:rPr>
      <w:sz w:val="24"/>
      <w:szCs w:val="24"/>
    </w:rPr>
  </w:style>
  <w:style w:type="character" w:styleId="ac">
    <w:name w:val="Emphasis"/>
    <w:uiPriority w:val="20"/>
    <w:qFormat/>
    <w:rsid w:val="00653A6D"/>
    <w:rPr>
      <w:i/>
      <w:iCs/>
    </w:rPr>
  </w:style>
  <w:style w:type="paragraph" w:customStyle="1" w:styleId="12">
    <w:name w:val="Без интервала1"/>
    <w:rsid w:val="00653A6D"/>
    <w:pPr>
      <w:spacing w:line="240" w:lineRule="auto"/>
      <w:jc w:val="left"/>
    </w:pPr>
    <w:rPr>
      <w:rFonts w:ascii="Calibri" w:eastAsia="Times New Roman" w:hAnsi="Calibri" w:cs="Times New Roman"/>
    </w:rPr>
  </w:style>
  <w:style w:type="paragraph" w:styleId="ad">
    <w:name w:val="TOC Heading"/>
    <w:basedOn w:val="1"/>
    <w:next w:val="a"/>
    <w:uiPriority w:val="39"/>
    <w:semiHidden/>
    <w:unhideWhenUsed/>
    <w:qFormat/>
    <w:rsid w:val="00653A6D"/>
    <w:pPr>
      <w:outlineLvl w:val="9"/>
    </w:pPr>
  </w:style>
  <w:style w:type="character" w:styleId="ae">
    <w:name w:val="FollowedHyperlink"/>
    <w:basedOn w:val="a0"/>
    <w:uiPriority w:val="99"/>
    <w:semiHidden/>
    <w:unhideWhenUsed/>
    <w:rsid w:val="00653A6D"/>
    <w:rPr>
      <w:color w:val="800080" w:themeColor="followedHyperlink"/>
      <w:u w:val="single"/>
    </w:rPr>
  </w:style>
  <w:style w:type="character" w:styleId="af">
    <w:name w:val="Placeholder Text"/>
    <w:basedOn w:val="a0"/>
    <w:uiPriority w:val="99"/>
    <w:semiHidden/>
    <w:rsid w:val="00653A6D"/>
    <w:rPr>
      <w:color w:val="808080"/>
    </w:rPr>
  </w:style>
  <w:style w:type="paragraph" w:styleId="af0">
    <w:name w:val="header"/>
    <w:basedOn w:val="a"/>
    <w:link w:val="af1"/>
    <w:uiPriority w:val="99"/>
    <w:unhideWhenUsed/>
    <w:rsid w:val="00653A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653A6D"/>
  </w:style>
  <w:style w:type="paragraph" w:styleId="af2">
    <w:name w:val="footer"/>
    <w:basedOn w:val="a"/>
    <w:link w:val="af3"/>
    <w:uiPriority w:val="99"/>
    <w:unhideWhenUsed/>
    <w:rsid w:val="00653A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653A6D"/>
  </w:style>
  <w:style w:type="table" w:styleId="af4">
    <w:name w:val="Table Grid"/>
    <w:basedOn w:val="a1"/>
    <w:uiPriority w:val="59"/>
    <w:rsid w:val="00653A6D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653A6D"/>
    <w:pPr>
      <w:suppressAutoHyphens/>
      <w:spacing w:after="160" w:line="252" w:lineRule="auto"/>
    </w:pPr>
    <w:rPr>
      <w:rFonts w:ascii="Calibri" w:eastAsia="SimSun" w:hAnsi="Calibri" w:cs="Calibri"/>
      <w:sz w:val="24"/>
      <w:szCs w:val="22"/>
      <w:lang w:eastAsia="ar-SA"/>
    </w:rPr>
  </w:style>
  <w:style w:type="paragraph" w:styleId="af5">
    <w:name w:val="footnote text"/>
    <w:basedOn w:val="a"/>
    <w:link w:val="af6"/>
    <w:semiHidden/>
    <w:unhideWhenUsed/>
    <w:rsid w:val="00653A6D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semiHidden/>
    <w:rsid w:val="00653A6D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653A6D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653A6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653A6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53A6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53A6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53A6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53A6D"/>
    <w:rPr>
      <w:b/>
      <w:bCs/>
      <w:sz w:val="20"/>
      <w:szCs w:val="20"/>
    </w:rPr>
  </w:style>
  <w:style w:type="character" w:customStyle="1" w:styleId="w">
    <w:name w:val="w"/>
    <w:basedOn w:val="a0"/>
    <w:rsid w:val="00653A6D"/>
  </w:style>
  <w:style w:type="character" w:styleId="afd">
    <w:name w:val="Strong"/>
    <w:basedOn w:val="a0"/>
    <w:uiPriority w:val="22"/>
    <w:qFormat/>
    <w:rsid w:val="00653A6D"/>
    <w:rPr>
      <w:b/>
      <w:bCs/>
    </w:rPr>
  </w:style>
  <w:style w:type="paragraph" w:customStyle="1" w:styleId="listparagraph">
    <w:name w:val="listparagraph"/>
    <w:basedOn w:val="a"/>
    <w:rsid w:val="00653A6D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653A6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53A6D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653A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653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E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A6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653A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6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A6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6D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3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3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53A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653A6D"/>
  </w:style>
  <w:style w:type="character" w:styleId="a4">
    <w:name w:val="Hyperlink"/>
    <w:basedOn w:val="a0"/>
    <w:uiPriority w:val="99"/>
    <w:unhideWhenUsed/>
    <w:rsid w:val="00653A6D"/>
    <w:rPr>
      <w:color w:val="0000FF"/>
      <w:u w:val="single"/>
    </w:rPr>
  </w:style>
  <w:style w:type="paragraph" w:customStyle="1" w:styleId="headertext">
    <w:name w:val="headertext"/>
    <w:basedOn w:val="a"/>
    <w:rsid w:val="00653A6D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53A6D"/>
  </w:style>
  <w:style w:type="paragraph" w:styleId="a5">
    <w:name w:val="Balloon Text"/>
    <w:basedOn w:val="a"/>
    <w:link w:val="a6"/>
    <w:uiPriority w:val="99"/>
    <w:semiHidden/>
    <w:unhideWhenUsed/>
    <w:rsid w:val="00653A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53A6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653A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653A6D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53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53A6D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53A6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53A6D"/>
    <w:pPr>
      <w:spacing w:line="240" w:lineRule="auto"/>
      <w:jc w:val="center"/>
    </w:pPr>
  </w:style>
  <w:style w:type="character" w:customStyle="1" w:styleId="ab">
    <w:name w:val="Без интервала Знак"/>
    <w:link w:val="aa"/>
    <w:uiPriority w:val="1"/>
    <w:locked/>
    <w:rsid w:val="00653A6D"/>
  </w:style>
  <w:style w:type="paragraph" w:customStyle="1" w:styleId="04220415041a04210422">
    <w:name w:val="04220415041a04210422"/>
    <w:basedOn w:val="a"/>
    <w:rsid w:val="00653A6D"/>
    <w:pPr>
      <w:spacing w:before="45" w:after="105"/>
    </w:pPr>
    <w:rPr>
      <w:sz w:val="24"/>
      <w:szCs w:val="24"/>
    </w:rPr>
  </w:style>
  <w:style w:type="character" w:styleId="ac">
    <w:name w:val="Emphasis"/>
    <w:uiPriority w:val="20"/>
    <w:qFormat/>
    <w:rsid w:val="00653A6D"/>
    <w:rPr>
      <w:i/>
      <w:iCs/>
    </w:rPr>
  </w:style>
  <w:style w:type="paragraph" w:customStyle="1" w:styleId="12">
    <w:name w:val="Без интервала1"/>
    <w:rsid w:val="00653A6D"/>
    <w:pPr>
      <w:spacing w:line="240" w:lineRule="auto"/>
      <w:jc w:val="left"/>
    </w:pPr>
    <w:rPr>
      <w:rFonts w:ascii="Calibri" w:eastAsia="Times New Roman" w:hAnsi="Calibri" w:cs="Times New Roman"/>
    </w:rPr>
  </w:style>
  <w:style w:type="paragraph" w:styleId="ad">
    <w:name w:val="TOC Heading"/>
    <w:basedOn w:val="1"/>
    <w:next w:val="a"/>
    <w:uiPriority w:val="39"/>
    <w:semiHidden/>
    <w:unhideWhenUsed/>
    <w:qFormat/>
    <w:rsid w:val="00653A6D"/>
    <w:pPr>
      <w:outlineLvl w:val="9"/>
    </w:pPr>
  </w:style>
  <w:style w:type="character" w:styleId="ae">
    <w:name w:val="FollowedHyperlink"/>
    <w:basedOn w:val="a0"/>
    <w:uiPriority w:val="99"/>
    <w:semiHidden/>
    <w:unhideWhenUsed/>
    <w:rsid w:val="00653A6D"/>
    <w:rPr>
      <w:color w:val="800080" w:themeColor="followedHyperlink"/>
      <w:u w:val="single"/>
    </w:rPr>
  </w:style>
  <w:style w:type="character" w:styleId="af">
    <w:name w:val="Placeholder Text"/>
    <w:basedOn w:val="a0"/>
    <w:uiPriority w:val="99"/>
    <w:semiHidden/>
    <w:rsid w:val="00653A6D"/>
    <w:rPr>
      <w:color w:val="808080"/>
    </w:rPr>
  </w:style>
  <w:style w:type="paragraph" w:styleId="af0">
    <w:name w:val="header"/>
    <w:basedOn w:val="a"/>
    <w:link w:val="af1"/>
    <w:uiPriority w:val="99"/>
    <w:unhideWhenUsed/>
    <w:rsid w:val="00653A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653A6D"/>
  </w:style>
  <w:style w:type="paragraph" w:styleId="af2">
    <w:name w:val="footer"/>
    <w:basedOn w:val="a"/>
    <w:link w:val="af3"/>
    <w:uiPriority w:val="99"/>
    <w:unhideWhenUsed/>
    <w:rsid w:val="00653A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653A6D"/>
  </w:style>
  <w:style w:type="table" w:styleId="af4">
    <w:name w:val="Table Grid"/>
    <w:basedOn w:val="a1"/>
    <w:uiPriority w:val="59"/>
    <w:rsid w:val="00653A6D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653A6D"/>
    <w:pPr>
      <w:suppressAutoHyphens/>
      <w:spacing w:after="160" w:line="252" w:lineRule="auto"/>
    </w:pPr>
    <w:rPr>
      <w:rFonts w:ascii="Calibri" w:eastAsia="SimSun" w:hAnsi="Calibri" w:cs="Calibri"/>
      <w:sz w:val="24"/>
      <w:szCs w:val="22"/>
      <w:lang w:eastAsia="ar-SA"/>
    </w:rPr>
  </w:style>
  <w:style w:type="paragraph" w:styleId="af5">
    <w:name w:val="footnote text"/>
    <w:basedOn w:val="a"/>
    <w:link w:val="af6"/>
    <w:semiHidden/>
    <w:unhideWhenUsed/>
    <w:rsid w:val="00653A6D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semiHidden/>
    <w:rsid w:val="00653A6D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653A6D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653A6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653A6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53A6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53A6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53A6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53A6D"/>
    <w:rPr>
      <w:b/>
      <w:bCs/>
      <w:sz w:val="20"/>
      <w:szCs w:val="20"/>
    </w:rPr>
  </w:style>
  <w:style w:type="character" w:customStyle="1" w:styleId="w">
    <w:name w:val="w"/>
    <w:basedOn w:val="a0"/>
    <w:rsid w:val="00653A6D"/>
  </w:style>
  <w:style w:type="character" w:styleId="afd">
    <w:name w:val="Strong"/>
    <w:basedOn w:val="a0"/>
    <w:uiPriority w:val="22"/>
    <w:qFormat/>
    <w:rsid w:val="00653A6D"/>
    <w:rPr>
      <w:b/>
      <w:bCs/>
    </w:rPr>
  </w:style>
  <w:style w:type="paragraph" w:customStyle="1" w:styleId="listparagraph">
    <w:name w:val="listparagraph"/>
    <w:basedOn w:val="a"/>
    <w:rsid w:val="00653A6D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653A6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53A6D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653A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65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0;&#1080;&#1085;&#1077;&#1083;&#1100;&#1089;&#1082;&#1080;&#1081;%20&#1088;&#1072;&#1081;&#1086;&#1085;\&#1041;&#1072;&#1079;&#1099;%20&#1076;&#1072;&#1085;&#1085;&#1099;&#1093;\&#1053;&#1077;&#1089;&#1090;&#1077;&#1088;&#1086;&#1074;&#1072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0;&#1080;&#1085;&#1077;&#1083;&#1100;&#1089;&#1082;&#1080;&#1081;%20&#1088;&#1072;&#1081;&#1086;&#1085;\&#1041;&#1072;&#1079;&#1099;%20&#1076;&#1072;&#1085;&#1085;&#1099;&#1093;\&#1057;&#1077;&#1083;&#1100;&#1089;&#1082;&#1086;&#1077;%20&#1093;&#1086;&#1079;&#1103;&#1081;&#1089;&#1090;&#1074;&#1086;\&#1057;&#1072;&#1084;&#1072;&#1088;&#1072;%20&#1089;&#1090;&#1072;&#1090;\&#1059;&#1088;&#1086;&#1078;&#1072;&#1081;&#1085;&#1086;&#1089;&#1090;&#1100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arlina\Local%20Settings\Temp\Report-2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0;&#1080;&#1085;&#1077;&#1083;&#1100;&#1089;&#1082;&#1080;&#1081;%20&#1088;&#1072;&#1081;&#1086;&#1085;\&#1041;&#1072;&#1079;&#1099;%20&#1076;&#1072;&#1085;&#1085;&#1099;&#1093;\&#1057;&#1077;&#1083;&#1100;&#1089;&#1082;&#1086;&#1077;%20&#1093;&#1086;&#1079;&#1103;&#1081;&#1089;&#1090;&#1074;&#1086;\&#1057;&#1072;&#1084;&#1072;&#1088;&#1072;%20&#1089;&#1090;&#1072;&#1090;\&#1056;&#1072;&#1079;&#1085;&#1086;&#1077;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arlina\Local%20Settings\Temp\Report-3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arlina\Local%20Settings\Temp\Report-3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arlina\Local%20Settings\Temp\Report-3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arlina\Local%20Settings\Temp\Report-3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arlina\Local%20Settings\Temp\Report-3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0;&#1080;&#1085;&#1077;&#1083;&#1100;&#1089;&#1082;&#1080;&#1081;%20&#1088;&#1072;&#1081;&#1086;&#1085;\&#1041;&#1072;&#1079;&#1099;%20&#1076;&#1072;&#1085;&#1085;&#1099;&#1093;\&#1053;&#1077;&#1089;&#1090;&#1077;&#1088;&#1086;&#107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2;&#1080;&#1085;&#1077;&#1083;&#1100;\&#1050;&#1085;&#1080;&#1075;&#1072;0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0;&#1085;&#1077;&#1083;&#1100;&#1089;&#1082;&#1080;&#1081;%20&#1088;&#1072;&#1081;&#1086;&#1085;\&#1041;&#1072;&#1079;&#1099;%20&#1076;&#1072;&#1085;&#1085;&#1099;&#1093;\&#1057;&#1077;&#1083;&#1100;&#1089;&#1082;&#1086;&#1077;%20&#1093;&#1086;&#1079;&#1103;&#1081;&#1089;&#1090;&#1074;&#1086;\&#1057;&#1072;&#1084;&#1072;&#1088;&#1072;%20&#1089;&#1090;&#1072;&#1090;\&#1054;&#1073;&#1098;&#1077;&#1084;%20&#1087;&#1088;&#1086;&#1080;&#1079;&#1074;&#1086;&#1076;&#1089;&#1090;&#1074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0;&#1085;&#1077;&#1083;&#1100;&#1089;&#1082;&#1080;&#1081;%20&#1088;&#1072;&#1081;&#1086;&#1085;\&#1041;&#1072;&#1079;&#1099;%20&#1076;&#1072;&#1085;&#1085;&#1099;&#1093;\&#1057;&#1077;&#1083;&#1100;&#1089;&#1082;&#1086;&#1077;%20&#1093;&#1086;&#1079;&#1103;&#1081;&#1089;&#1090;&#1074;&#1086;\&#1057;&#1072;&#1084;&#1072;&#1088;&#1072;%20&#1089;&#1090;&#1072;&#1090;\&#1054;&#1073;&#1098;&#1077;&#1084;%20&#1087;&#1088;&#1086;&#1080;&#1079;&#1074;&#1086;&#1076;&#1089;&#1090;&#1074;&#1072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arlina\&#1052;&#1086;&#1080;%20&#1076;&#1086;&#1082;&#1091;&#1084;&#1077;&#1085;&#1090;&#1099;\&#1047;&#1072;&#1075;&#1088;&#1091;&#1079;&#1082;&#1080;\Report(1)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arlina\&#1052;&#1086;&#1080;%20&#1076;&#1086;&#1082;&#1091;&#1084;&#1077;&#1085;&#1090;&#1099;\&#1047;&#1072;&#1075;&#1088;&#1091;&#1079;&#1082;&#1080;\Report(2)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arlina\&#1052;&#1086;&#1080;%20&#1076;&#1086;&#1082;&#1091;&#1084;&#1077;&#1085;&#1090;&#1099;\&#1047;&#1072;&#1075;&#1088;&#1091;&#1079;&#1082;&#1080;\Report(2)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arlina\Local%20Settings\Temp\Report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0;&#1080;&#1085;&#1077;&#1083;&#1100;&#1089;&#1082;&#1080;&#1081;%20&#1088;&#1072;&#1081;&#1086;&#1085;\&#1041;&#1072;&#1079;&#1099;%20&#1076;&#1072;&#1085;&#1085;&#1099;&#1093;\&#1057;&#1077;&#1083;&#1100;&#1089;&#1082;&#1086;&#1077;%20&#1093;&#1086;&#1079;&#1103;&#1081;&#1089;&#1090;&#1074;&#1086;\&#1057;&#1072;&#1084;&#1072;&#1088;&#1072;%20&#1089;&#1090;&#1072;&#1090;\&#1059;&#1088;&#1086;&#1078;&#1072;&#1081;&#1085;&#1086;&#1089;&#1090;&#110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Лист1!$A$381</c:f>
              <c:strCache>
                <c:ptCount val="1"/>
                <c:pt idx="0">
                  <c:v>Сальдированный финансовый результат (прибыль минус убыток) по всем видам деятельности, млн. рублей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350846468184472E-3"/>
                  <c:y val="7.874015748031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Лист1!$B$380:$L$380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Лист1!$B$381:$L$381</c:f>
              <c:numCache>
                <c:formatCode>General</c:formatCode>
                <c:ptCount val="11"/>
                <c:pt idx="0">
                  <c:v>68.099999999999994</c:v>
                </c:pt>
                <c:pt idx="1">
                  <c:v>17.2</c:v>
                </c:pt>
                <c:pt idx="2">
                  <c:v>83.1</c:v>
                </c:pt>
                <c:pt idx="3">
                  <c:v>88.9</c:v>
                </c:pt>
                <c:pt idx="4">
                  <c:v>151.19999999999999</c:v>
                </c:pt>
                <c:pt idx="5">
                  <c:v>467.8</c:v>
                </c:pt>
                <c:pt idx="6">
                  <c:v>442.3</c:v>
                </c:pt>
                <c:pt idx="7">
                  <c:v>452</c:v>
                </c:pt>
                <c:pt idx="8">
                  <c:v>559.79999999999995</c:v>
                </c:pt>
                <c:pt idx="9">
                  <c:v>597.4</c:v>
                </c:pt>
                <c:pt idx="10">
                  <c:v>227.8</c:v>
                </c:pt>
              </c:numCache>
            </c:numRef>
          </c:val>
        </c:ser>
        <c:ser>
          <c:idx val="2"/>
          <c:order val="2"/>
          <c:tx>
            <c:strRef>
              <c:f>Лист1!$A$383</c:f>
              <c:strCache>
                <c:ptCount val="1"/>
                <c:pt idx="0">
                  <c:v>Сумма убытка убыточных организаций, млн. рублей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Лист1!$B$380:$K$380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Лист1!$B$383:$L$383</c:f>
              <c:numCache>
                <c:formatCode>General</c:formatCode>
                <c:ptCount val="11"/>
                <c:pt idx="0">
                  <c:v>36.300000000000004</c:v>
                </c:pt>
                <c:pt idx="1">
                  <c:v>56.8</c:v>
                </c:pt>
                <c:pt idx="2">
                  <c:v>59.4</c:v>
                </c:pt>
                <c:pt idx="3">
                  <c:v>53.8</c:v>
                </c:pt>
                <c:pt idx="4">
                  <c:v>20.5</c:v>
                </c:pt>
                <c:pt idx="5">
                  <c:v>17.3</c:v>
                </c:pt>
                <c:pt idx="6">
                  <c:v>12.2</c:v>
                </c:pt>
                <c:pt idx="7">
                  <c:v>52.9</c:v>
                </c:pt>
                <c:pt idx="8">
                  <c:v>37.9</c:v>
                </c:pt>
                <c:pt idx="9">
                  <c:v>135.5</c:v>
                </c:pt>
                <c:pt idx="10">
                  <c:v>152.1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5376640"/>
        <c:axId val="135915776"/>
      </c:barChart>
      <c:lineChart>
        <c:grouping val="standard"/>
        <c:varyColors val="0"/>
        <c:ser>
          <c:idx val="1"/>
          <c:order val="1"/>
          <c:tx>
            <c:strRef>
              <c:f>Лист1!$A$382</c:f>
              <c:strCache>
                <c:ptCount val="1"/>
                <c:pt idx="0">
                  <c:v>Удельный вес убыточных организаций по всем видам деятельности, % </c:v>
                </c:pt>
              </c:strCache>
            </c:strRef>
          </c:tx>
          <c:dLbls>
            <c:dLbl>
              <c:idx val="0"/>
              <c:layout>
                <c:manualLayout>
                  <c:x val="-3.8009173279531232E-2"/>
                  <c:y val="-3.432642720454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543118164833317E-2"/>
                  <c:y val="7.2466901876271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543118164833358E-2"/>
                  <c:y val="-8.7723091744959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543118164833317E-2"/>
                  <c:y val="0.10297928161364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941283508927242E-2"/>
                  <c:y val="-5.72107120075824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5611007935437702E-2"/>
                  <c:y val="6.1024759474754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Лист1!$B$380:$K$380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Лист1!$B$382:$L$382</c:f>
              <c:numCache>
                <c:formatCode>General</c:formatCode>
                <c:ptCount val="11"/>
                <c:pt idx="0">
                  <c:v>26.8</c:v>
                </c:pt>
                <c:pt idx="1">
                  <c:v>22</c:v>
                </c:pt>
                <c:pt idx="2">
                  <c:v>33.800000000000004</c:v>
                </c:pt>
                <c:pt idx="3">
                  <c:v>20.7</c:v>
                </c:pt>
                <c:pt idx="4">
                  <c:v>22.6</c:v>
                </c:pt>
                <c:pt idx="5">
                  <c:v>9.8000000000000007</c:v>
                </c:pt>
                <c:pt idx="6">
                  <c:v>17.899999999999999</c:v>
                </c:pt>
                <c:pt idx="7">
                  <c:v>17.600000000000001</c:v>
                </c:pt>
                <c:pt idx="8">
                  <c:v>21.4</c:v>
                </c:pt>
                <c:pt idx="9">
                  <c:v>15.7</c:v>
                </c:pt>
                <c:pt idx="10">
                  <c:v>17.3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5377152"/>
        <c:axId val="135916352"/>
      </c:lineChart>
      <c:catAx>
        <c:axId val="7537664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35915776"/>
        <c:crosses val="autoZero"/>
        <c:auto val="1"/>
        <c:lblAlgn val="ctr"/>
        <c:lblOffset val="100"/>
        <c:noMultiLvlLbl val="0"/>
      </c:catAx>
      <c:valAx>
        <c:axId val="135915776"/>
        <c:scaling>
          <c:orientation val="minMax"/>
          <c:max val="6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900"/>
                  <a:t>Сальдированный</a:t>
                </a:r>
                <a:r>
                  <a:rPr lang="ru-RU" sz="900" baseline="0"/>
                  <a:t> финансовый результат млн. руб, сумма убытка убыточныйх оргнизаций\, млн. руб</a:t>
                </a:r>
                <a:endParaRPr lang="ru-RU" sz="900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75376640"/>
        <c:crosses val="autoZero"/>
        <c:crossBetween val="between"/>
      </c:valAx>
      <c:valAx>
        <c:axId val="135916352"/>
        <c:scaling>
          <c:orientation val="minMax"/>
          <c:max val="35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800"/>
                  <a:t>Удельный вес убыточных организаций,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75377152"/>
        <c:crosses val="max"/>
        <c:crossBetween val="between"/>
      </c:valAx>
      <c:catAx>
        <c:axId val="753771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916352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Лист2!$A$5</c:f>
              <c:strCache>
                <c:ptCount val="1"/>
                <c:pt idx="0">
                  <c:v>Картофель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tx2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Лист2!$B$4:$K$4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Лист2!$B$5:$K$5</c:f>
              <c:numCache>
                <c:formatCode>General</c:formatCode>
                <c:ptCount val="10"/>
                <c:pt idx="0">
                  <c:v>159.30000000000001</c:v>
                </c:pt>
                <c:pt idx="1">
                  <c:v>149.1</c:v>
                </c:pt>
                <c:pt idx="2">
                  <c:v>59.6</c:v>
                </c:pt>
                <c:pt idx="3">
                  <c:v>121.2</c:v>
                </c:pt>
                <c:pt idx="4">
                  <c:v>130.19999999999999</c:v>
                </c:pt>
                <c:pt idx="5">
                  <c:v>130.4</c:v>
                </c:pt>
                <c:pt idx="6">
                  <c:v>133.1</c:v>
                </c:pt>
                <c:pt idx="7">
                  <c:v>129.4</c:v>
                </c:pt>
                <c:pt idx="8">
                  <c:v>132.30000000000001</c:v>
                </c:pt>
                <c:pt idx="9">
                  <c:v>134.30000000000001</c:v>
                </c:pt>
              </c:numCache>
            </c:numRef>
          </c:val>
        </c:ser>
        <c:ser>
          <c:idx val="1"/>
          <c:order val="1"/>
          <c:tx>
            <c:strRef>
              <c:f>Лист2!$A$6</c:f>
              <c:strCache>
                <c:ptCount val="1"/>
                <c:pt idx="0">
                  <c:v>Овощи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Лист2!$B$4:$K$4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Лист2!$B$6:$K$6</c:f>
              <c:numCache>
                <c:formatCode>General</c:formatCode>
                <c:ptCount val="10"/>
                <c:pt idx="0">
                  <c:v>226.5</c:v>
                </c:pt>
                <c:pt idx="1">
                  <c:v>211.2</c:v>
                </c:pt>
                <c:pt idx="2">
                  <c:v>148.19999999999999</c:v>
                </c:pt>
                <c:pt idx="3">
                  <c:v>216.2</c:v>
                </c:pt>
                <c:pt idx="4">
                  <c:v>244.2</c:v>
                </c:pt>
                <c:pt idx="5">
                  <c:v>233</c:v>
                </c:pt>
                <c:pt idx="6">
                  <c:v>249.9</c:v>
                </c:pt>
                <c:pt idx="7">
                  <c:v>218.4</c:v>
                </c:pt>
                <c:pt idx="8">
                  <c:v>221.4</c:v>
                </c:pt>
                <c:pt idx="9">
                  <c:v>233.7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9079424"/>
        <c:axId val="158426240"/>
      </c:barChart>
      <c:catAx>
        <c:axId val="390794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58426240"/>
        <c:crosses val="autoZero"/>
        <c:auto val="1"/>
        <c:lblAlgn val="ctr"/>
        <c:lblOffset val="100"/>
        <c:noMultiLvlLbl val="0"/>
      </c:catAx>
      <c:valAx>
        <c:axId val="158426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Центнеров с га убранной площали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90794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'Первый лист'!$A$3</c:f>
              <c:strCache>
                <c:ptCount val="1"/>
                <c:pt idx="0">
                  <c:v>Кинельский муниципальный район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'Первый лист'!$B$2:$K$2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'Первый лист'!$B$3:$K$3</c:f>
              <c:numCache>
                <c:formatCode>General</c:formatCode>
                <c:ptCount val="10"/>
                <c:pt idx="0">
                  <c:v>1027</c:v>
                </c:pt>
                <c:pt idx="1">
                  <c:v>3708</c:v>
                </c:pt>
                <c:pt idx="2">
                  <c:v>2537</c:v>
                </c:pt>
                <c:pt idx="3">
                  <c:v>862.1</c:v>
                </c:pt>
                <c:pt idx="4">
                  <c:v>1361.6</c:v>
                </c:pt>
                <c:pt idx="5">
                  <c:v>1406.8</c:v>
                </c:pt>
                <c:pt idx="6">
                  <c:v>12510</c:v>
                </c:pt>
                <c:pt idx="7">
                  <c:v>8185</c:v>
                </c:pt>
                <c:pt idx="8">
                  <c:v>5947</c:v>
                </c:pt>
                <c:pt idx="9">
                  <c:v>12768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5787776"/>
        <c:axId val="158427968"/>
      </c:barChart>
      <c:catAx>
        <c:axId val="7578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8427968"/>
        <c:crosses val="autoZero"/>
        <c:auto val="1"/>
        <c:lblAlgn val="ctr"/>
        <c:lblOffset val="100"/>
        <c:noMultiLvlLbl val="0"/>
      </c:catAx>
      <c:valAx>
        <c:axId val="158427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57877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Крупный рогатый скот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Лист4!$B$1:$K$1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Лист4!$B$2:$K$2</c:f>
              <c:numCache>
                <c:formatCode>General</c:formatCode>
                <c:ptCount val="10"/>
                <c:pt idx="0">
                  <c:v>9</c:v>
                </c:pt>
                <c:pt idx="1">
                  <c:v>8.2000000000000011</c:v>
                </c:pt>
                <c:pt idx="2">
                  <c:v>8.7000000000000011</c:v>
                </c:pt>
                <c:pt idx="3">
                  <c:v>9.3000000000000007</c:v>
                </c:pt>
                <c:pt idx="4">
                  <c:v>10.3</c:v>
                </c:pt>
                <c:pt idx="5">
                  <c:v>10.5</c:v>
                </c:pt>
                <c:pt idx="6">
                  <c:v>12</c:v>
                </c:pt>
                <c:pt idx="7">
                  <c:v>14.4</c:v>
                </c:pt>
                <c:pt idx="8">
                  <c:v>14.5</c:v>
                </c:pt>
                <c:pt idx="9">
                  <c:v>13.7</c:v>
                </c:pt>
              </c:numCache>
            </c:numRef>
          </c:val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Свиньи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Лист4!$B$1:$K$1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Лист4!$B$3:$K$3</c:f>
              <c:numCache>
                <c:formatCode>General</c:formatCode>
                <c:ptCount val="10"/>
                <c:pt idx="0">
                  <c:v>5.3</c:v>
                </c:pt>
                <c:pt idx="1">
                  <c:v>8.8000000000000007</c:v>
                </c:pt>
                <c:pt idx="2">
                  <c:v>23.2</c:v>
                </c:pt>
                <c:pt idx="3">
                  <c:v>41.5</c:v>
                </c:pt>
                <c:pt idx="4">
                  <c:v>85.2</c:v>
                </c:pt>
                <c:pt idx="5">
                  <c:v>58.4</c:v>
                </c:pt>
                <c:pt idx="6">
                  <c:v>24.8</c:v>
                </c:pt>
                <c:pt idx="7">
                  <c:v>26.7</c:v>
                </c:pt>
                <c:pt idx="8">
                  <c:v>25.8</c:v>
                </c:pt>
                <c:pt idx="9">
                  <c:v>17.100000000000001</c:v>
                </c:pt>
              </c:numCache>
            </c:numRef>
          </c:val>
        </c:ser>
        <c:ser>
          <c:idx val="2"/>
          <c:order val="2"/>
          <c:tx>
            <c:strRef>
              <c:f>Лист4!$A$4</c:f>
              <c:strCache>
                <c:ptCount val="1"/>
                <c:pt idx="0">
                  <c:v>Овцы и козы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Лист4!$B$1:$K$1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Лист4!$B$4:$K$4</c:f>
              <c:numCache>
                <c:formatCode>General</c:formatCode>
                <c:ptCount val="10"/>
                <c:pt idx="0">
                  <c:v>2.1</c:v>
                </c:pt>
                <c:pt idx="1">
                  <c:v>2.2999999999999998</c:v>
                </c:pt>
                <c:pt idx="2">
                  <c:v>2.2000000000000002</c:v>
                </c:pt>
                <c:pt idx="3">
                  <c:v>2.1</c:v>
                </c:pt>
                <c:pt idx="4">
                  <c:v>2.4</c:v>
                </c:pt>
                <c:pt idx="5">
                  <c:v>3.6</c:v>
                </c:pt>
                <c:pt idx="6">
                  <c:v>4.5999999999999996</c:v>
                </c:pt>
                <c:pt idx="7">
                  <c:v>3.7</c:v>
                </c:pt>
                <c:pt idx="8">
                  <c:v>3.6</c:v>
                </c:pt>
                <c:pt idx="9">
                  <c:v>4.5999999999999996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6785920"/>
        <c:axId val="158429696"/>
      </c:barChart>
      <c:catAx>
        <c:axId val="13678592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58429696"/>
        <c:crosses val="autoZero"/>
        <c:auto val="1"/>
        <c:lblAlgn val="ctr"/>
        <c:lblOffset val="100"/>
        <c:noMultiLvlLbl val="0"/>
      </c:catAx>
      <c:valAx>
        <c:axId val="158429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 тысяч голов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67859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'Первый лист'!$A$3</c:f>
              <c:strCache>
                <c:ptCount val="1"/>
                <c:pt idx="0">
                  <c:v>Скот и птица в живой массе (тыс. тонн)</c:v>
                </c:pt>
              </c:strCache>
            </c:strRef>
          </c:tx>
          <c:invertIfNegative val="0"/>
          <c:dLbls>
            <c:dLbl>
              <c:idx val="8"/>
              <c:layout>
                <c:manualLayout>
                  <c:x val="5.5710306406684387E-3"/>
                  <c:y val="-3.0701754385964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'Первый лист'!$B$2:$K$2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'Первый лист'!$B$3:$K$3</c:f>
              <c:numCache>
                <c:formatCode>General</c:formatCode>
                <c:ptCount val="10"/>
                <c:pt idx="0">
                  <c:v>5211</c:v>
                </c:pt>
                <c:pt idx="1">
                  <c:v>3767</c:v>
                </c:pt>
                <c:pt idx="2">
                  <c:v>4102</c:v>
                </c:pt>
                <c:pt idx="3">
                  <c:v>7316</c:v>
                </c:pt>
                <c:pt idx="4">
                  <c:v>15415</c:v>
                </c:pt>
                <c:pt idx="5">
                  <c:v>12797</c:v>
                </c:pt>
                <c:pt idx="6">
                  <c:v>8864</c:v>
                </c:pt>
                <c:pt idx="7">
                  <c:v>12080.1</c:v>
                </c:pt>
                <c:pt idx="8">
                  <c:v>12581.47</c:v>
                </c:pt>
                <c:pt idx="9">
                  <c:v>10375.379999999925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6786432"/>
        <c:axId val="158431424"/>
      </c:barChart>
      <c:catAx>
        <c:axId val="13678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8431424"/>
        <c:crosses val="autoZero"/>
        <c:auto val="1"/>
        <c:lblAlgn val="ctr"/>
        <c:lblOffset val="100"/>
        <c:noMultiLvlLbl val="0"/>
      </c:catAx>
      <c:valAx>
        <c:axId val="158431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6786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'Первый лист'!$A$5</c:f>
              <c:strCache>
                <c:ptCount val="1"/>
                <c:pt idx="0">
                  <c:v>Молоко (тыс. тонн)</c:v>
                </c:pt>
              </c:strCache>
            </c:strRef>
          </c:tx>
          <c:invertIfNegative val="0"/>
          <c:dLbls>
            <c:dLbl>
              <c:idx val="8"/>
              <c:layout>
                <c:manualLayout>
                  <c:x val="9.2358294949869378E-17"/>
                  <c:y val="-3.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'Первый лист'!$B$4:$K$4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'Первый лист'!$B$5:$K$5</c:f>
              <c:numCache>
                <c:formatCode>General</c:formatCode>
                <c:ptCount val="10"/>
                <c:pt idx="0">
                  <c:v>17686</c:v>
                </c:pt>
                <c:pt idx="1">
                  <c:v>15339</c:v>
                </c:pt>
                <c:pt idx="2">
                  <c:v>13909</c:v>
                </c:pt>
                <c:pt idx="3">
                  <c:v>13002</c:v>
                </c:pt>
                <c:pt idx="4">
                  <c:v>13714</c:v>
                </c:pt>
                <c:pt idx="5">
                  <c:v>13598</c:v>
                </c:pt>
                <c:pt idx="6">
                  <c:v>14697</c:v>
                </c:pt>
                <c:pt idx="7">
                  <c:v>20420.43</c:v>
                </c:pt>
                <c:pt idx="8">
                  <c:v>20528.47</c:v>
                </c:pt>
                <c:pt idx="9">
                  <c:v>22165.67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6787456"/>
        <c:axId val="158687232"/>
      </c:barChart>
      <c:catAx>
        <c:axId val="13678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8687232"/>
        <c:crosses val="autoZero"/>
        <c:auto val="1"/>
        <c:lblAlgn val="ctr"/>
        <c:lblOffset val="100"/>
        <c:noMultiLvlLbl val="0"/>
      </c:catAx>
      <c:valAx>
        <c:axId val="158687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67874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'Первый лист'!$A$7</c:f>
              <c:strCache>
                <c:ptCount val="1"/>
                <c:pt idx="0">
                  <c:v>Яйца, тысяча штук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'Первый лист'!$B$6:$K$6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'Первый лист'!$B$7:$K$7</c:f>
              <c:numCache>
                <c:formatCode>General</c:formatCode>
                <c:ptCount val="10"/>
                <c:pt idx="0">
                  <c:v>7289</c:v>
                </c:pt>
                <c:pt idx="1">
                  <c:v>6536</c:v>
                </c:pt>
                <c:pt idx="2">
                  <c:v>6728</c:v>
                </c:pt>
                <c:pt idx="3">
                  <c:v>6532</c:v>
                </c:pt>
                <c:pt idx="4">
                  <c:v>6596</c:v>
                </c:pt>
                <c:pt idx="5">
                  <c:v>5575</c:v>
                </c:pt>
                <c:pt idx="6">
                  <c:v>4404</c:v>
                </c:pt>
                <c:pt idx="7">
                  <c:v>4512.9699999999993</c:v>
                </c:pt>
                <c:pt idx="8">
                  <c:v>4276.1500000000024</c:v>
                </c:pt>
                <c:pt idx="9">
                  <c:v>3600.25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6787968"/>
        <c:axId val="158688960"/>
      </c:barChart>
      <c:catAx>
        <c:axId val="13678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8688960"/>
        <c:crosses val="autoZero"/>
        <c:auto val="1"/>
        <c:lblAlgn val="ctr"/>
        <c:lblOffset val="100"/>
        <c:noMultiLvlLbl val="0"/>
      </c:catAx>
      <c:valAx>
        <c:axId val="158688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67879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'Первый лист'!$A$9</c:f>
              <c:strCache>
                <c:ptCount val="1"/>
                <c:pt idx="0">
                  <c:v>Шерсть (тонн)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'Первый лист'!$B$8:$K$8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'Первый лист'!$B$9:$K$9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4</c:v>
                </c:pt>
                <c:pt idx="5">
                  <c:v>8</c:v>
                </c:pt>
                <c:pt idx="6">
                  <c:v>7</c:v>
                </c:pt>
                <c:pt idx="7">
                  <c:v>6.74</c:v>
                </c:pt>
                <c:pt idx="8">
                  <c:v>6.33</c:v>
                </c:pt>
                <c:pt idx="9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6788480"/>
        <c:axId val="158690688"/>
      </c:barChart>
      <c:catAx>
        <c:axId val="13678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8690688"/>
        <c:crosses val="autoZero"/>
        <c:auto val="1"/>
        <c:lblAlgn val="ctr"/>
        <c:lblOffset val="100"/>
        <c:noMultiLvlLbl val="0"/>
      </c:catAx>
      <c:valAx>
        <c:axId val="158690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67884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'Первый лист'!$A$11</c:f>
              <c:strCache>
                <c:ptCount val="1"/>
                <c:pt idx="0">
                  <c:v>Мед (тонн)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'Первый лист'!$B$10:$K$10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'Первый лист'!$B$11:$K$11</c:f>
              <c:numCache>
                <c:formatCode>General</c:formatCode>
                <c:ptCount val="10"/>
                <c:pt idx="0">
                  <c:v>30</c:v>
                </c:pt>
                <c:pt idx="1">
                  <c:v>15</c:v>
                </c:pt>
                <c:pt idx="2">
                  <c:v>14</c:v>
                </c:pt>
                <c:pt idx="3">
                  <c:v>15</c:v>
                </c:pt>
                <c:pt idx="4">
                  <c:v>15</c:v>
                </c:pt>
                <c:pt idx="5">
                  <c:v>16</c:v>
                </c:pt>
                <c:pt idx="6">
                  <c:v>15</c:v>
                </c:pt>
                <c:pt idx="7">
                  <c:v>12.18</c:v>
                </c:pt>
                <c:pt idx="8">
                  <c:v>14.62</c:v>
                </c:pt>
                <c:pt idx="9">
                  <c:v>11.15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6788992"/>
        <c:axId val="158692416"/>
      </c:barChart>
      <c:catAx>
        <c:axId val="13678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8692416"/>
        <c:crosses val="autoZero"/>
        <c:auto val="1"/>
        <c:lblAlgn val="ctr"/>
        <c:lblOffset val="100"/>
        <c:noMultiLvlLbl val="0"/>
      </c:catAx>
      <c:valAx>
        <c:axId val="158692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67889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Лист1!$A$144</c:f>
              <c:strCache>
                <c:ptCount val="1"/>
                <c:pt idx="0">
                  <c:v>Инвестиции в основной капитал по крупным и средним предприятиям, млн.руб.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2.3397560589126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4356298510026602E-3"/>
                  <c:y val="-3.0085962148016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Лист1!$B$143:$K$143</c:f>
              <c:numCache>
                <c:formatCode>0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Лист1!$B$144:$K$144</c:f>
              <c:numCache>
                <c:formatCode>#,##0.00</c:formatCode>
                <c:ptCount val="10"/>
                <c:pt idx="0">
                  <c:v>2810.1</c:v>
                </c:pt>
                <c:pt idx="1">
                  <c:v>1766.3</c:v>
                </c:pt>
                <c:pt idx="2">
                  <c:v>2877.1</c:v>
                </c:pt>
                <c:pt idx="3">
                  <c:v>2788.8</c:v>
                </c:pt>
                <c:pt idx="4">
                  <c:v>4492</c:v>
                </c:pt>
                <c:pt idx="5">
                  <c:v>2902.3</c:v>
                </c:pt>
                <c:pt idx="6">
                  <c:v>4683.3</c:v>
                </c:pt>
                <c:pt idx="7">
                  <c:v>4709.6000000000004</c:v>
                </c:pt>
                <c:pt idx="8">
                  <c:v>5999.3</c:v>
                </c:pt>
                <c:pt idx="9">
                  <c:v>2599.9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6789504"/>
        <c:axId val="138051584"/>
      </c:barChart>
      <c:catAx>
        <c:axId val="136789504"/>
        <c:scaling>
          <c:orientation val="minMax"/>
        </c:scaling>
        <c:delete val="0"/>
        <c:axPos val="b"/>
        <c:majorGridlines/>
        <c:numFmt formatCode="0" sourceLinked="1"/>
        <c:majorTickMark val="none"/>
        <c:minorTickMark val="none"/>
        <c:tickLblPos val="nextTo"/>
        <c:crossAx val="138051584"/>
        <c:crosses val="autoZero"/>
        <c:auto val="1"/>
        <c:lblAlgn val="ctr"/>
        <c:lblOffset val="100"/>
        <c:noMultiLvlLbl val="0"/>
      </c:catAx>
      <c:valAx>
        <c:axId val="138051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млн. руб</a:t>
                </a:r>
              </a:p>
            </c:rich>
          </c:tx>
          <c:layout>
            <c:manualLayout>
              <c:xMode val="edge"/>
              <c:yMode val="edge"/>
              <c:x val="1.8390137364216408E-2"/>
              <c:y val="0.3050700241417193"/>
            </c:manualLayout>
          </c:layout>
          <c:overlay val="0"/>
        </c:title>
        <c:numFmt formatCode="#,##0.00" sourceLinked="1"/>
        <c:majorTickMark val="none"/>
        <c:minorTickMark val="none"/>
        <c:tickLblPos val="nextTo"/>
        <c:crossAx val="1367895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Лист1!$A$420</c:f>
              <c:strCache>
                <c:ptCount val="1"/>
                <c:pt idx="0">
                  <c:v>Муниципальный район Кинельский</c:v>
                </c:pt>
              </c:strCache>
            </c:strRef>
          </c:tx>
          <c:cat>
            <c:numRef>
              <c:f>Лист1!$B$419:$M$419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numCache>
            </c:numRef>
          </c:cat>
          <c:val>
            <c:numRef>
              <c:f>Лист1!$B$420:$M$420</c:f>
              <c:numCache>
                <c:formatCode>General</c:formatCode>
                <c:ptCount val="12"/>
                <c:pt idx="0">
                  <c:v>140</c:v>
                </c:pt>
                <c:pt idx="1">
                  <c:v>172.7</c:v>
                </c:pt>
                <c:pt idx="2">
                  <c:v>127.8</c:v>
                </c:pt>
                <c:pt idx="3">
                  <c:v>97.5</c:v>
                </c:pt>
                <c:pt idx="4">
                  <c:v>85.4</c:v>
                </c:pt>
                <c:pt idx="5">
                  <c:v>100.3</c:v>
                </c:pt>
                <c:pt idx="6">
                  <c:v>96.7</c:v>
                </c:pt>
                <c:pt idx="7">
                  <c:v>122.9</c:v>
                </c:pt>
                <c:pt idx="8">
                  <c:v>104.7</c:v>
                </c:pt>
                <c:pt idx="9">
                  <c:v>99.1</c:v>
                </c:pt>
                <c:pt idx="10">
                  <c:v>96.7</c:v>
                </c:pt>
                <c:pt idx="11">
                  <c:v>77.599999999999994</c:v>
                </c:pt>
              </c:numCache>
            </c:numRef>
          </c:val>
        </c:ser>
        <c:ser>
          <c:idx val="1"/>
          <c:order val="1"/>
          <c:tx>
            <c:strRef>
              <c:f>Лист1!$A$421</c:f>
              <c:strCache>
                <c:ptCount val="1"/>
                <c:pt idx="0">
                  <c:v>Самарская область</c:v>
                </c:pt>
              </c:strCache>
            </c:strRef>
          </c:tx>
          <c:cat>
            <c:numRef>
              <c:f>Лист1!$B$419:$M$419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numCache>
            </c:numRef>
          </c:cat>
          <c:val>
            <c:numRef>
              <c:f>Лист1!$B$421:$M$421</c:f>
              <c:numCache>
                <c:formatCode>0.0</c:formatCode>
                <c:ptCount val="12"/>
                <c:pt idx="0">
                  <c:v>105</c:v>
                </c:pt>
                <c:pt idx="1">
                  <c:v>103.4</c:v>
                </c:pt>
                <c:pt idx="2">
                  <c:v>103.1</c:v>
                </c:pt>
                <c:pt idx="3">
                  <c:v>80.7</c:v>
                </c:pt>
                <c:pt idx="4">
                  <c:v>114.4</c:v>
                </c:pt>
                <c:pt idx="5">
                  <c:v>105.8</c:v>
                </c:pt>
                <c:pt idx="6">
                  <c:v>102.2</c:v>
                </c:pt>
                <c:pt idx="7">
                  <c:v>101</c:v>
                </c:pt>
                <c:pt idx="8">
                  <c:v>99.4</c:v>
                </c:pt>
                <c:pt idx="9">
                  <c:v>99.4</c:v>
                </c:pt>
                <c:pt idx="10">
                  <c:v>99.1</c:v>
                </c:pt>
                <c:pt idx="11">
                  <c:v>101.6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375104"/>
        <c:axId val="135918080"/>
      </c:radarChart>
      <c:catAx>
        <c:axId val="753751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5918080"/>
        <c:crosses val="autoZero"/>
        <c:auto val="1"/>
        <c:lblAlgn val="ctr"/>
        <c:lblOffset val="100"/>
        <c:noMultiLvlLbl val="0"/>
      </c:catAx>
      <c:valAx>
        <c:axId val="13591808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75375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766861991088513"/>
          <c:y val="0.44322730207363725"/>
          <c:w val="0.51954678630287499"/>
          <c:h val="0.55677269792636253"/>
        </c:manualLayout>
      </c:layout>
      <c:pieChart>
        <c:varyColors val="1"/>
        <c:ser>
          <c:idx val="0"/>
          <c:order val="0"/>
          <c:tx>
            <c:strRef>
              <c:f>'Первый лист'!$B$30</c:f>
              <c:strCache>
                <c:ptCount val="1"/>
                <c:pt idx="0">
                  <c:v>2008</c:v>
                </c:pt>
              </c:strCache>
            </c:strRef>
          </c:tx>
          <c:explosion val="8"/>
          <c:dLbls>
            <c:dLbl>
              <c:idx val="0"/>
              <c:layout>
                <c:manualLayout>
                  <c:x val="9.3198132210218027E-2"/>
                  <c:y val="9.36606257551146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705456876030039"/>
                  <c:y val="-0.10019447569053869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3118842702801667"/>
                  <c:y val="1.051468566429195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'Первый лист'!$A$31:$A$33</c:f>
              <c:strCache>
                <c:ptCount val="3"/>
                <c:pt idx="0">
                  <c:v>Сельскохозяйственные организации </c:v>
                </c:pt>
                <c:pt idx="1">
                  <c:v>Хозяйства населения (граждане)</c:v>
                </c:pt>
                <c:pt idx="2">
                  <c:v>Крестьянские (фермерские) хозяйства и индивидуальные предприниматели</c:v>
                </c:pt>
              </c:strCache>
            </c:strRef>
          </c:cat>
          <c:val>
            <c:numRef>
              <c:f>'Первый лист'!$B$31:$B$33</c:f>
              <c:numCache>
                <c:formatCode>General</c:formatCode>
                <c:ptCount val="3"/>
                <c:pt idx="0">
                  <c:v>26.973195497956535</c:v>
                </c:pt>
                <c:pt idx="1">
                  <c:v>70.025244827473585</c:v>
                </c:pt>
                <c:pt idx="2">
                  <c:v>3.0015596745696067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"/>
          <c:y val="0.1255026455026455"/>
          <c:w val="0.99716077641457923"/>
          <c:h val="0.3018872640919904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'Первый лист'!$D$30</c:f>
              <c:strCache>
                <c:ptCount val="1"/>
                <c:pt idx="0">
                  <c:v>2017</c:v>
                </c:pt>
              </c:strCache>
            </c:strRef>
          </c:tx>
          <c:dPt>
            <c:idx val="0"/>
            <c:bubble3D val="0"/>
            <c:explosion val="3"/>
          </c:dPt>
          <c:dPt>
            <c:idx val="1"/>
            <c:bubble3D val="0"/>
            <c:explosion val="4"/>
          </c:dPt>
          <c:dLbls>
            <c:dLbl>
              <c:idx val="0"/>
              <c:layout>
                <c:manualLayout>
                  <c:x val="4.4346456692913414E-2"/>
                  <c:y val="-1.212482417598352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7505766324664"/>
                  <c:y val="-0.1087733646553849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7029021372328512E-2"/>
                  <c:y val="1.036469888777714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'Первый лист'!$C$31:$C$33</c:f>
              <c:strCache>
                <c:ptCount val="3"/>
                <c:pt idx="0">
                  <c:v>Сельскохозяйственные организации </c:v>
                </c:pt>
                <c:pt idx="1">
                  <c:v>Хозяйства населения (граждане)</c:v>
                </c:pt>
                <c:pt idx="2">
                  <c:v>Крестьянские (фермерские) хозяйства и индивидуальные предприниматели</c:v>
                </c:pt>
              </c:strCache>
            </c:strRef>
          </c:cat>
          <c:val>
            <c:numRef>
              <c:f>'Первый лист'!$D$31:$D$33</c:f>
              <c:numCache>
                <c:formatCode>General</c:formatCode>
                <c:ptCount val="3"/>
                <c:pt idx="0">
                  <c:v>43.812299989765904</c:v>
                </c:pt>
                <c:pt idx="1">
                  <c:v>44.190708141157046</c:v>
                </c:pt>
                <c:pt idx="2">
                  <c:v>11.996991869077316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9.2087037507408182E-2"/>
          <c:y val="0.10920810313075506"/>
          <c:w val="0.83928633554236476"/>
          <c:h val="0.262691956323136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13092567339687"/>
          <c:y val="3.8095238095238099E-2"/>
          <c:w val="0.84852270561151921"/>
          <c:h val="0.68716010498687652"/>
        </c:manualLayout>
      </c:layout>
      <c:lineChart>
        <c:grouping val="standard"/>
        <c:varyColors val="0"/>
        <c:ser>
          <c:idx val="0"/>
          <c:order val="0"/>
          <c:tx>
            <c:strRef>
              <c:f>'Первый лист'!$A$5</c:f>
              <c:strCache>
                <c:ptCount val="1"/>
                <c:pt idx="0">
                  <c:v>Сельскохозяйственные организации (все сельхозорганизации)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2493438320210258E-2"/>
                  <c:y val="-5.1948051948051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0341207349081433E-2"/>
                  <c:y val="7.2727272727272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9238845144357495E-2"/>
                  <c:y val="9.69696969696970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9.5538057742782248E-2"/>
                  <c:y val="8.31168831168836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'Первый лист'!$B$4:$K$4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'Первый лист'!$B$5:$K$5</c:f>
              <c:numCache>
                <c:formatCode>General</c:formatCode>
                <c:ptCount val="10"/>
                <c:pt idx="0">
                  <c:v>455700</c:v>
                </c:pt>
                <c:pt idx="1">
                  <c:v>385971</c:v>
                </c:pt>
                <c:pt idx="2">
                  <c:v>425418</c:v>
                </c:pt>
                <c:pt idx="3">
                  <c:v>892608</c:v>
                </c:pt>
                <c:pt idx="4">
                  <c:v>1512631</c:v>
                </c:pt>
                <c:pt idx="5">
                  <c:v>1613512</c:v>
                </c:pt>
                <c:pt idx="6">
                  <c:v>1523105</c:v>
                </c:pt>
                <c:pt idx="7">
                  <c:v>1941287</c:v>
                </c:pt>
                <c:pt idx="8">
                  <c:v>2121117</c:v>
                </c:pt>
                <c:pt idx="9">
                  <c:v>1905053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'Первый лист'!$A$6</c:f>
              <c:strCache>
                <c:ptCount val="1"/>
                <c:pt idx="0">
                  <c:v>Хозяйства населения (граждане)</c:v>
                </c:pt>
              </c:strCache>
            </c:strRef>
          </c:tx>
          <c:marker>
            <c:symbol val="none"/>
          </c:marker>
          <c:dLbls>
            <c:dLbl>
              <c:idx val="4"/>
              <c:layout>
                <c:manualLayout>
                  <c:x val="-0.10183727034120763"/>
                  <c:y val="-5.88744588744588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0183727034120729"/>
                  <c:y val="-3.8095238095238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0183727034120763"/>
                  <c:y val="-6.926406926406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4824932316531556E-2"/>
                  <c:y val="-6.5800865800865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'Первый лист'!$B$4:$K$4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'Первый лист'!$B$6:$K$6</c:f>
              <c:numCache>
                <c:formatCode>General</c:formatCode>
                <c:ptCount val="10"/>
                <c:pt idx="0">
                  <c:v>1183045</c:v>
                </c:pt>
                <c:pt idx="1">
                  <c:v>1271604</c:v>
                </c:pt>
                <c:pt idx="2">
                  <c:v>960914</c:v>
                </c:pt>
                <c:pt idx="3">
                  <c:v>1324940</c:v>
                </c:pt>
                <c:pt idx="4">
                  <c:v>1592598</c:v>
                </c:pt>
                <c:pt idx="5">
                  <c:v>1779159</c:v>
                </c:pt>
                <c:pt idx="6">
                  <c:v>1801809</c:v>
                </c:pt>
                <c:pt idx="7">
                  <c:v>1983351</c:v>
                </c:pt>
                <c:pt idx="8">
                  <c:v>2063859</c:v>
                </c:pt>
                <c:pt idx="9">
                  <c:v>1921507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'Первый лист'!$A$7</c:f>
              <c:strCache>
                <c:ptCount val="1"/>
                <c:pt idx="0">
                  <c:v>Крестьянские (фермерские) хозяйства и индивидуальные предприниматели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0942622950819706E-2"/>
                  <c:y val="-2.3728813559322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0942622950819706E-2"/>
                  <c:y val="-2.7118644067796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2991803278688506E-2"/>
                  <c:y val="-3.0508474576271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'Первый лист'!$B$4:$K$4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'Первый лист'!$B$7:$K$7</c:f>
              <c:numCache>
                <c:formatCode>General</c:formatCode>
                <c:ptCount val="10"/>
                <c:pt idx="0">
                  <c:v>50710</c:v>
                </c:pt>
                <c:pt idx="1">
                  <c:v>39398</c:v>
                </c:pt>
                <c:pt idx="2">
                  <c:v>28666</c:v>
                </c:pt>
                <c:pt idx="3">
                  <c:v>93796</c:v>
                </c:pt>
                <c:pt idx="4">
                  <c:v>127374</c:v>
                </c:pt>
                <c:pt idx="5">
                  <c:v>207692</c:v>
                </c:pt>
                <c:pt idx="6">
                  <c:v>248215</c:v>
                </c:pt>
                <c:pt idx="7">
                  <c:v>526990</c:v>
                </c:pt>
                <c:pt idx="8">
                  <c:v>749094</c:v>
                </c:pt>
                <c:pt idx="9">
                  <c:v>521655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5378176"/>
        <c:axId val="157835840"/>
      </c:lineChart>
      <c:catAx>
        <c:axId val="7537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7835840"/>
        <c:crosses val="autoZero"/>
        <c:auto val="1"/>
        <c:lblAlgn val="ctr"/>
        <c:lblOffset val="100"/>
        <c:noMultiLvlLbl val="0"/>
      </c:catAx>
      <c:valAx>
        <c:axId val="157835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5378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'Первый лист'!$A$3</c:f>
              <c:strCache>
                <c:ptCount val="1"/>
                <c:pt idx="0">
                  <c:v>Всего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0195222057440876E-2"/>
                  <c:y val="-4.67372048851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2354156339481032E-2"/>
                  <c:y val="-2.9210753053213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0989893467642886E-2"/>
                  <c:y val="-3.5052903663856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2354156339481032E-2"/>
                  <c:y val="-1.7526451831928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6672024903561984E-2"/>
                  <c:y val="2.9210753053213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0195222057440876E-2"/>
                  <c:y val="-2.0447527137249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2354156339481032E-2"/>
                  <c:y val="-2.9210753053213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6628669423302755E-2"/>
                  <c:y val="1.7526451831928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'Первый лист'!$B$2:$K$2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'Первый лист'!$B$3:$K$3</c:f>
              <c:numCache>
                <c:formatCode>General</c:formatCode>
                <c:ptCount val="10"/>
                <c:pt idx="0">
                  <c:v>1689455</c:v>
                </c:pt>
                <c:pt idx="1">
                  <c:v>1696973</c:v>
                </c:pt>
                <c:pt idx="2">
                  <c:v>1414998</c:v>
                </c:pt>
                <c:pt idx="3">
                  <c:v>2311344</c:v>
                </c:pt>
                <c:pt idx="4">
                  <c:v>3232603</c:v>
                </c:pt>
                <c:pt idx="5">
                  <c:v>3600363</c:v>
                </c:pt>
                <c:pt idx="6">
                  <c:v>3573129</c:v>
                </c:pt>
                <c:pt idx="7">
                  <c:v>4451628</c:v>
                </c:pt>
                <c:pt idx="8">
                  <c:v>4934070</c:v>
                </c:pt>
                <c:pt idx="9">
                  <c:v>4348215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'Первый лист'!$A$4</c:f>
              <c:strCache>
                <c:ptCount val="1"/>
                <c:pt idx="0">
                  <c:v>Объем производства продукции растениеводства (в фактически действовавших ценах), тысяча рублей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0195222057440876E-2"/>
                  <c:y val="-1.7526451831928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2354156339481032E-2"/>
                  <c:y val="-1.7526451831928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7496554204890296E-2"/>
                  <c:y val="-2.9210753053213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354156339481032E-2"/>
                  <c:y val="-1.7526451831928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6672024903561984E-2"/>
                  <c:y val="-4.08950542744991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2354156339481032E-2"/>
                  <c:y val="-1.7526451831928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2354156339481032E-2"/>
                  <c:y val="-2.6289677747892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0195222057440876E-2"/>
                  <c:y val="3.7973978969178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2354156339481032E-2"/>
                  <c:y val="-2.9210753053213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6628669423302755E-2"/>
                  <c:y val="2.9210753053213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'Первый лист'!$B$2:$K$2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'Первый лист'!$B$4:$K$4</c:f>
              <c:numCache>
                <c:formatCode>General</c:formatCode>
                <c:ptCount val="10"/>
                <c:pt idx="0">
                  <c:v>1038139</c:v>
                </c:pt>
                <c:pt idx="1">
                  <c:v>1030867</c:v>
                </c:pt>
                <c:pt idx="2">
                  <c:v>766243</c:v>
                </c:pt>
                <c:pt idx="3">
                  <c:v>1394860</c:v>
                </c:pt>
                <c:pt idx="4">
                  <c:v>1555460</c:v>
                </c:pt>
                <c:pt idx="5">
                  <c:v>2101178</c:v>
                </c:pt>
                <c:pt idx="6">
                  <c:v>2274850</c:v>
                </c:pt>
                <c:pt idx="7">
                  <c:v>2586345</c:v>
                </c:pt>
                <c:pt idx="8">
                  <c:v>2983510</c:v>
                </c:pt>
                <c:pt idx="9">
                  <c:v>2669596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'Первый лист'!$A$5</c:f>
              <c:strCache>
                <c:ptCount val="1"/>
                <c:pt idx="0">
                  <c:v>Объем производства продукции животноводства (в фактически действовавших ценах), тысяча рублей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3178685640809095E-2"/>
                  <c:y val="3.7973978969178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337619922849973E-2"/>
                  <c:y val="2.9210753053213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5337619922850007E-2"/>
                  <c:y val="2.6289677747892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7496554204890205E-2"/>
                  <c:y val="3.5052903663856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8291225615092278E-2"/>
                  <c:y val="4.3816129579820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8036287775400123E-2"/>
                  <c:y val="2.3368602442570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2354156339481032E-2"/>
                  <c:y val="2.0447527137249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8036287775400123E-2"/>
                  <c:y val="3.7973978969178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0195222057440876E-2"/>
                  <c:y val="2.9210753053213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6628669423302755E-2"/>
                  <c:y val="3.7973978969178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'Первый лист'!$B$2:$K$2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'Первый лист'!$B$5:$K$5</c:f>
              <c:numCache>
                <c:formatCode>General</c:formatCode>
                <c:ptCount val="10"/>
                <c:pt idx="0">
                  <c:v>651316</c:v>
                </c:pt>
                <c:pt idx="1">
                  <c:v>666106</c:v>
                </c:pt>
                <c:pt idx="2">
                  <c:v>648755</c:v>
                </c:pt>
                <c:pt idx="3">
                  <c:v>916484</c:v>
                </c:pt>
                <c:pt idx="4">
                  <c:v>1677143</c:v>
                </c:pt>
                <c:pt idx="5">
                  <c:v>1499185</c:v>
                </c:pt>
                <c:pt idx="6">
                  <c:v>1298279</c:v>
                </c:pt>
                <c:pt idx="7">
                  <c:v>1865283</c:v>
                </c:pt>
                <c:pt idx="8">
                  <c:v>1950560</c:v>
                </c:pt>
                <c:pt idx="9">
                  <c:v>1678619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5784192"/>
        <c:axId val="157838144"/>
      </c:lineChart>
      <c:catAx>
        <c:axId val="7578419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7838144"/>
        <c:crosses val="autoZero"/>
        <c:auto val="1"/>
        <c:lblAlgn val="ctr"/>
        <c:lblOffset val="100"/>
        <c:noMultiLvlLbl val="0"/>
      </c:catAx>
      <c:valAx>
        <c:axId val="157838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Объем производства ,</a:t>
                </a:r>
                <a:r>
                  <a:rPr lang="ru-RU" baseline="0"/>
                  <a:t> тыс. руб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crossAx val="757841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1940048944910097E-2"/>
          <c:y val="0.76618632228339101"/>
          <c:w val="0.89611973211535445"/>
          <c:h val="0.23381367771661155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Лист3!$A$3:$B$3</c:f>
              <c:strCache>
                <c:ptCount val="1"/>
                <c:pt idx="0">
                  <c:v>Зерновые и зернобобовые культуры (в весе после доработки)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Лист3!$C$2:$L$2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Лист3!$C$3:$L$3</c:f>
              <c:numCache>
                <c:formatCode>General</c:formatCode>
                <c:ptCount val="10"/>
                <c:pt idx="0">
                  <c:v>514416</c:v>
                </c:pt>
                <c:pt idx="1">
                  <c:v>736263</c:v>
                </c:pt>
                <c:pt idx="2">
                  <c:v>223865</c:v>
                </c:pt>
                <c:pt idx="3">
                  <c:v>116509</c:v>
                </c:pt>
                <c:pt idx="4">
                  <c:v>337270</c:v>
                </c:pt>
                <c:pt idx="5">
                  <c:v>522431</c:v>
                </c:pt>
                <c:pt idx="6">
                  <c:v>751416</c:v>
                </c:pt>
                <c:pt idx="7">
                  <c:v>546545</c:v>
                </c:pt>
                <c:pt idx="8">
                  <c:v>724039</c:v>
                </c:pt>
                <c:pt idx="9">
                  <c:v>1003611</c:v>
                </c:pt>
              </c:numCache>
            </c:numRef>
          </c:val>
        </c:ser>
        <c:ser>
          <c:idx val="1"/>
          <c:order val="1"/>
          <c:tx>
            <c:strRef>
              <c:f>Лист3!$A$4:$B$4</c:f>
              <c:strCache>
                <c:ptCount val="1"/>
                <c:pt idx="0">
                  <c:v>Подсолнечник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5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Лист3!$C$2:$L$2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Лист3!$C$4:$L$4</c:f>
              <c:numCache>
                <c:formatCode>General</c:formatCode>
                <c:ptCount val="10"/>
                <c:pt idx="0">
                  <c:v>89036</c:v>
                </c:pt>
                <c:pt idx="1">
                  <c:v>200973</c:v>
                </c:pt>
                <c:pt idx="2">
                  <c:v>82234</c:v>
                </c:pt>
                <c:pt idx="3">
                  <c:v>305715</c:v>
                </c:pt>
                <c:pt idx="4">
                  <c:v>167816</c:v>
                </c:pt>
                <c:pt idx="5">
                  <c:v>320930</c:v>
                </c:pt>
                <c:pt idx="6">
                  <c:v>232292</c:v>
                </c:pt>
                <c:pt idx="7">
                  <c:v>276613</c:v>
                </c:pt>
                <c:pt idx="8">
                  <c:v>308615</c:v>
                </c:pt>
                <c:pt idx="9">
                  <c:v>307220</c:v>
                </c:pt>
              </c:numCache>
            </c:numRef>
          </c:val>
        </c:ser>
        <c:ser>
          <c:idx val="2"/>
          <c:order val="2"/>
          <c:tx>
            <c:strRef>
              <c:f>Лист3!$A$5:$B$5</c:f>
              <c:strCache>
                <c:ptCount val="1"/>
                <c:pt idx="0">
                  <c:v>Картофель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Лист3!$C$2:$L$2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Лист3!$C$5:$L$5</c:f>
              <c:numCache>
                <c:formatCode>General</c:formatCode>
                <c:ptCount val="10"/>
                <c:pt idx="0">
                  <c:v>229233</c:v>
                </c:pt>
                <c:pt idx="1">
                  <c:v>2660</c:v>
                </c:pt>
                <c:pt idx="2">
                  <c:v>85764</c:v>
                </c:pt>
                <c:pt idx="3">
                  <c:v>173623</c:v>
                </c:pt>
                <c:pt idx="4">
                  <c:v>191915</c:v>
                </c:pt>
                <c:pt idx="5">
                  <c:v>179852</c:v>
                </c:pt>
                <c:pt idx="6">
                  <c:v>183184.02</c:v>
                </c:pt>
                <c:pt idx="7">
                  <c:v>177170</c:v>
                </c:pt>
                <c:pt idx="8">
                  <c:v>171761</c:v>
                </c:pt>
                <c:pt idx="9">
                  <c:v>162906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5785728"/>
        <c:axId val="157839872"/>
      </c:barChart>
      <c:catAx>
        <c:axId val="7578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7839872"/>
        <c:crosses val="autoZero"/>
        <c:auto val="1"/>
        <c:lblAlgn val="ctr"/>
        <c:lblOffset val="100"/>
        <c:noMultiLvlLbl val="0"/>
      </c:catAx>
      <c:valAx>
        <c:axId val="157839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57857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'Первый лист'!$A$3</c:f>
              <c:strCache>
                <c:ptCount val="1"/>
                <c:pt idx="0">
                  <c:v>Вся посевная площадь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'Первый лист'!$B$2:$G$2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'Первый лист'!$B$3:$G$3</c:f>
              <c:numCache>
                <c:formatCode>General</c:formatCode>
                <c:ptCount val="6"/>
                <c:pt idx="0">
                  <c:v>62224</c:v>
                </c:pt>
                <c:pt idx="1">
                  <c:v>68608</c:v>
                </c:pt>
                <c:pt idx="2">
                  <c:v>71347</c:v>
                </c:pt>
                <c:pt idx="3">
                  <c:v>75378</c:v>
                </c:pt>
                <c:pt idx="4">
                  <c:v>76787</c:v>
                </c:pt>
                <c:pt idx="5">
                  <c:v>76907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5786240"/>
        <c:axId val="157841600"/>
      </c:barChart>
      <c:catAx>
        <c:axId val="7578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7841600"/>
        <c:crosses val="autoZero"/>
        <c:auto val="1"/>
        <c:lblAlgn val="ctr"/>
        <c:lblOffset val="100"/>
        <c:noMultiLvlLbl val="0"/>
      </c:catAx>
      <c:valAx>
        <c:axId val="157841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57862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Зерновые и зернобобовые культуры (в весе после доработки)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aseline="0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Лист2!$B$1:$K$1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Лист2!$B$2:$K$2</c:f>
              <c:numCache>
                <c:formatCode>General</c:formatCode>
                <c:ptCount val="10"/>
                <c:pt idx="0">
                  <c:v>16.100000000000001</c:v>
                </c:pt>
                <c:pt idx="1">
                  <c:v>17.100000000000001</c:v>
                </c:pt>
                <c:pt idx="2">
                  <c:v>10.9</c:v>
                </c:pt>
                <c:pt idx="3">
                  <c:v>17.399999999999999</c:v>
                </c:pt>
                <c:pt idx="4">
                  <c:v>12.4</c:v>
                </c:pt>
                <c:pt idx="5">
                  <c:v>16.5</c:v>
                </c:pt>
                <c:pt idx="6">
                  <c:v>22.5</c:v>
                </c:pt>
                <c:pt idx="7">
                  <c:v>15.9</c:v>
                </c:pt>
                <c:pt idx="8">
                  <c:v>20.399999999999999</c:v>
                </c:pt>
                <c:pt idx="9">
                  <c:v>15.950000000000006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Подсолнечник (в весе после доработки)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Лист2!$B$1:$K$1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Лист2!$B$3:$K$3</c:f>
              <c:numCache>
                <c:formatCode>General</c:formatCode>
                <c:ptCount val="10"/>
                <c:pt idx="0">
                  <c:v>8.9</c:v>
                </c:pt>
                <c:pt idx="1">
                  <c:v>8.3000000000000007</c:v>
                </c:pt>
                <c:pt idx="2">
                  <c:v>5.4</c:v>
                </c:pt>
                <c:pt idx="3">
                  <c:v>13.1</c:v>
                </c:pt>
                <c:pt idx="4">
                  <c:v>10.7</c:v>
                </c:pt>
                <c:pt idx="5">
                  <c:v>15.5</c:v>
                </c:pt>
                <c:pt idx="6">
                  <c:v>11.6</c:v>
                </c:pt>
                <c:pt idx="7">
                  <c:v>10.6</c:v>
                </c:pt>
                <c:pt idx="8">
                  <c:v>12.8</c:v>
                </c:pt>
                <c:pt idx="9">
                  <c:v>15.2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5787264"/>
        <c:axId val="157842752"/>
      </c:barChart>
      <c:catAx>
        <c:axId val="7578726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57842752"/>
        <c:crosses val="autoZero"/>
        <c:auto val="1"/>
        <c:lblAlgn val="ctr"/>
        <c:lblOffset val="100"/>
        <c:noMultiLvlLbl val="0"/>
      </c:catAx>
      <c:valAx>
        <c:axId val="157842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Центнеров с га убранной площади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757872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8815</Words>
  <Characters>50247</Characters>
  <Application>Microsoft Office Word</Application>
  <DocSecurity>4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Зезина Татьяна Александровна</cp:lastModifiedBy>
  <cp:revision>2</cp:revision>
  <dcterms:created xsi:type="dcterms:W3CDTF">2022-06-02T10:53:00Z</dcterms:created>
  <dcterms:modified xsi:type="dcterms:W3CDTF">2022-06-02T10:53:00Z</dcterms:modified>
</cp:coreProperties>
</file>