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2F2D67">
        <w:rPr>
          <w:sz w:val="36"/>
          <w:szCs w:val="36"/>
        </w:rPr>
        <w:t xml:space="preserve"> </w:t>
      </w:r>
      <w:r w:rsidR="00384897">
        <w:rPr>
          <w:sz w:val="36"/>
          <w:szCs w:val="36"/>
        </w:rPr>
        <w:t xml:space="preserve">    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384897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«__»___</w:t>
      </w:r>
      <w:r w:rsidR="00C75CD3"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B047ED" w:rsidRPr="00C75CD3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м</w:t>
      </w:r>
      <w:r w:rsidR="0047503C">
        <w:rPr>
          <w:b/>
          <w:sz w:val="28"/>
          <w:szCs w:val="28"/>
        </w:rPr>
        <w:t>униципальную</w:t>
      </w:r>
      <w:r w:rsidR="00E578F7">
        <w:rPr>
          <w:b/>
          <w:sz w:val="28"/>
          <w:szCs w:val="28"/>
        </w:rPr>
        <w:t xml:space="preserve"> </w:t>
      </w: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</w:t>
      </w:r>
      <w:r w:rsidR="00406C09"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и </w:t>
      </w:r>
    </w:p>
    <w:p w:rsidR="00406C09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47503C">
        <w:rPr>
          <w:b/>
          <w:sz w:val="28"/>
          <w:szCs w:val="28"/>
        </w:rPr>
        <w:t xml:space="preserve">отопления </w:t>
      </w:r>
      <w:r w:rsidR="00CD69C9">
        <w:rPr>
          <w:b/>
          <w:sz w:val="28"/>
          <w:szCs w:val="28"/>
        </w:rPr>
        <w:t>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7503C">
      <w:pPr>
        <w:shd w:val="clear" w:color="auto" w:fill="FFFFFF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</w:t>
      </w:r>
      <w:r w:rsidR="0047503C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47503C">
        <w:rPr>
          <w:sz w:val="28"/>
          <w:szCs w:val="28"/>
        </w:rPr>
        <w:t>я систем отопления на 2017-2024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</w:t>
      </w:r>
      <w:r w:rsidR="0047503C">
        <w:rPr>
          <w:sz w:val="28"/>
        </w:rPr>
        <w:t xml:space="preserve">утвержденную </w:t>
      </w:r>
      <w:r w:rsidR="0047503C">
        <w:rPr>
          <w:sz w:val="28"/>
          <w:szCs w:val="28"/>
        </w:rPr>
        <w:t>постановление</w:t>
      </w:r>
      <w:r w:rsidR="0047503C">
        <w:rPr>
          <w:sz w:val="28"/>
          <w:szCs w:val="28"/>
        </w:rPr>
        <w:t>м</w:t>
      </w:r>
      <w:r w:rsidR="0047503C">
        <w:rPr>
          <w:sz w:val="28"/>
        </w:rPr>
        <w:t xml:space="preserve"> администрации муниципального района Кинельский</w:t>
      </w:r>
      <w:r w:rsidR="0047503C">
        <w:rPr>
          <w:sz w:val="28"/>
        </w:rPr>
        <w:t xml:space="preserve"> </w:t>
      </w:r>
      <w:r>
        <w:rPr>
          <w:sz w:val="28"/>
        </w:rPr>
        <w:t>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  <w:bookmarkStart w:id="0" w:name="_GoBack"/>
      <w:bookmarkEnd w:id="0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47503C" w:rsidRDefault="0047503C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Pr="00C20BF0" w:rsidRDefault="00B047ED" w:rsidP="00C20B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47503C">
        <w:rPr>
          <w:sz w:val="28"/>
          <w:szCs w:val="28"/>
        </w:rPr>
        <w:t>_____ от  «__»___</w:t>
      </w:r>
      <w:r w:rsidR="00C75CD3">
        <w:rPr>
          <w:sz w:val="28"/>
          <w:szCs w:val="28"/>
        </w:rPr>
        <w:t>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Pr="00067477" w:rsidRDefault="00B047ED" w:rsidP="00067477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067477" w:rsidRDefault="00B047ED" w:rsidP="00067477">
      <w:pPr>
        <w:shd w:val="clear" w:color="auto" w:fill="FFFFFF"/>
        <w:ind w:left="11"/>
        <w:jc w:val="center"/>
        <w:rPr>
          <w:b/>
          <w:sz w:val="28"/>
        </w:rPr>
      </w:pPr>
      <w:r w:rsidRPr="00067477">
        <w:rPr>
          <w:b/>
          <w:sz w:val="28"/>
          <w:szCs w:val="28"/>
        </w:rPr>
        <w:t xml:space="preserve">в </w:t>
      </w:r>
      <w:r w:rsidR="0047503C" w:rsidRPr="00067477">
        <w:rPr>
          <w:b/>
          <w:sz w:val="28"/>
          <w:szCs w:val="28"/>
        </w:rPr>
        <w:t>муниципальную программу</w:t>
      </w:r>
      <w:r w:rsidRPr="00067477">
        <w:rPr>
          <w:b/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 w:rsidRPr="00067477">
        <w:rPr>
          <w:b/>
          <w:sz w:val="28"/>
          <w:szCs w:val="28"/>
        </w:rPr>
        <w:t xml:space="preserve">систем отопления  </w:t>
      </w:r>
      <w:r w:rsidR="00D652CA" w:rsidRPr="00067477">
        <w:rPr>
          <w:b/>
          <w:sz w:val="28"/>
          <w:szCs w:val="28"/>
        </w:rPr>
        <w:t>на 2017-2024</w:t>
      </w:r>
      <w:r w:rsidRPr="00067477">
        <w:rPr>
          <w:b/>
          <w:sz w:val="28"/>
          <w:szCs w:val="28"/>
        </w:rPr>
        <w:t xml:space="preserve"> годы»</w:t>
      </w:r>
      <w:r w:rsidR="00406C09" w:rsidRPr="00067477">
        <w:rPr>
          <w:b/>
          <w:sz w:val="28"/>
        </w:rPr>
        <w:t xml:space="preserve"> </w:t>
      </w:r>
      <w:r w:rsidR="00067477" w:rsidRPr="00067477">
        <w:rPr>
          <w:b/>
          <w:sz w:val="28"/>
        </w:rPr>
        <w:t xml:space="preserve">утвержденную </w:t>
      </w:r>
      <w:r w:rsidR="00067477" w:rsidRPr="00067477">
        <w:rPr>
          <w:b/>
          <w:sz w:val="28"/>
          <w:szCs w:val="28"/>
        </w:rPr>
        <w:t>постановлением</w:t>
      </w:r>
      <w:r w:rsidR="00067477" w:rsidRPr="00067477">
        <w:rPr>
          <w:b/>
          <w:sz w:val="28"/>
        </w:rPr>
        <w:t xml:space="preserve"> администрации муниципального района Кинельский </w:t>
      </w:r>
    </w:p>
    <w:p w:rsidR="00067477" w:rsidRPr="00067477" w:rsidRDefault="00067477" w:rsidP="00067477">
      <w:pPr>
        <w:shd w:val="clear" w:color="auto" w:fill="FFFFFF"/>
        <w:ind w:left="11"/>
        <w:jc w:val="center"/>
        <w:rPr>
          <w:b/>
          <w:sz w:val="32"/>
          <w:szCs w:val="32"/>
        </w:rPr>
      </w:pPr>
      <w:r w:rsidRPr="00067477">
        <w:rPr>
          <w:b/>
          <w:sz w:val="28"/>
        </w:rPr>
        <w:t>от 21.12.2016 г. №2051.</w:t>
      </w:r>
    </w:p>
    <w:p w:rsidR="00406C09" w:rsidRPr="00F513C4" w:rsidRDefault="00406C09" w:rsidP="0047503C">
      <w:pPr>
        <w:spacing w:line="276" w:lineRule="auto"/>
        <w:jc w:val="center"/>
        <w:rPr>
          <w:b/>
          <w:sz w:val="28"/>
          <w:szCs w:val="28"/>
        </w:rPr>
      </w:pP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384897">
        <w:rPr>
          <w:color w:val="000000"/>
          <w:sz w:val="28"/>
          <w:szCs w:val="28"/>
        </w:rPr>
        <w:t>90 760,70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384897">
        <w:rPr>
          <w:color w:val="000000"/>
          <w:sz w:val="28"/>
          <w:szCs w:val="28"/>
        </w:rPr>
        <w:t>90 760,70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rFonts w:eastAsia="Times New Roman CYR"/>
          <w:color w:val="000000"/>
          <w:sz w:val="28"/>
          <w:szCs w:val="28"/>
        </w:rPr>
        <w:t>77 406,2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C75CD3">
        <w:rPr>
          <w:rFonts w:eastAsia="Times New Roman CYR"/>
          <w:color w:val="000000"/>
          <w:sz w:val="28"/>
          <w:szCs w:val="28"/>
        </w:rPr>
        <w:t xml:space="preserve">7 406,2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384897">
        <w:rPr>
          <w:color w:val="000000"/>
          <w:sz w:val="28"/>
          <w:szCs w:val="28"/>
        </w:rPr>
        <w:t>90 760,70</w:t>
      </w:r>
      <w:r w:rsidR="00384897">
        <w:rPr>
          <w:spacing w:val="-1"/>
          <w:sz w:val="28"/>
          <w:szCs w:val="28"/>
        </w:rPr>
        <w:t xml:space="preserve"> </w:t>
      </w:r>
      <w:r w:rsidR="002B2E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384897">
        <w:rPr>
          <w:color w:val="000000"/>
          <w:sz w:val="28"/>
          <w:szCs w:val="28"/>
        </w:rPr>
        <w:t>90 760,70</w:t>
      </w:r>
      <w:r w:rsidR="0038489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color w:val="000000"/>
          <w:sz w:val="28"/>
          <w:szCs w:val="28"/>
        </w:rPr>
        <w:t>65 356,4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4" w:rsidRDefault="003852C4">
      <w:r>
        <w:separator/>
      </w:r>
    </w:p>
  </w:endnote>
  <w:endnote w:type="continuationSeparator" w:id="0">
    <w:p w:rsidR="003852C4" w:rsidRDefault="0038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4" w:rsidRDefault="003852C4">
      <w:r>
        <w:separator/>
      </w:r>
    </w:p>
  </w:footnote>
  <w:footnote w:type="continuationSeparator" w:id="0">
    <w:p w:rsidR="003852C4" w:rsidRDefault="0038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067477"/>
    <w:rsid w:val="00121C72"/>
    <w:rsid w:val="00146AB5"/>
    <w:rsid w:val="00191156"/>
    <w:rsid w:val="00216CF1"/>
    <w:rsid w:val="00235AD9"/>
    <w:rsid w:val="00273998"/>
    <w:rsid w:val="002A54A0"/>
    <w:rsid w:val="002B2EE2"/>
    <w:rsid w:val="002F2D67"/>
    <w:rsid w:val="00322E6A"/>
    <w:rsid w:val="0034092A"/>
    <w:rsid w:val="003536B9"/>
    <w:rsid w:val="00384897"/>
    <w:rsid w:val="003852C4"/>
    <w:rsid w:val="00406C09"/>
    <w:rsid w:val="00457BC8"/>
    <w:rsid w:val="004642C1"/>
    <w:rsid w:val="00467602"/>
    <w:rsid w:val="0047503C"/>
    <w:rsid w:val="004B7912"/>
    <w:rsid w:val="00557EC4"/>
    <w:rsid w:val="006A7588"/>
    <w:rsid w:val="007C1D3A"/>
    <w:rsid w:val="007C2E66"/>
    <w:rsid w:val="007F41D0"/>
    <w:rsid w:val="00891293"/>
    <w:rsid w:val="008B3238"/>
    <w:rsid w:val="00923FD8"/>
    <w:rsid w:val="00995A6C"/>
    <w:rsid w:val="00AB4A37"/>
    <w:rsid w:val="00B030E6"/>
    <w:rsid w:val="00B047ED"/>
    <w:rsid w:val="00BB34BB"/>
    <w:rsid w:val="00BE1144"/>
    <w:rsid w:val="00C20BF0"/>
    <w:rsid w:val="00C75CD3"/>
    <w:rsid w:val="00CD69C9"/>
    <w:rsid w:val="00D10D8F"/>
    <w:rsid w:val="00D652CA"/>
    <w:rsid w:val="00D7780A"/>
    <w:rsid w:val="00DD4F72"/>
    <w:rsid w:val="00DD5288"/>
    <w:rsid w:val="00E462DC"/>
    <w:rsid w:val="00E578F7"/>
    <w:rsid w:val="00E74AB1"/>
    <w:rsid w:val="00E906E0"/>
    <w:rsid w:val="00F058EF"/>
    <w:rsid w:val="00F168FE"/>
    <w:rsid w:val="00F277E2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21A2A7D-3308-4C04-9E1A-68D58A1A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25</cp:revision>
  <cp:lastPrinted>2022-09-14T05:34:00Z</cp:lastPrinted>
  <dcterms:created xsi:type="dcterms:W3CDTF">2021-12-14T05:19:00Z</dcterms:created>
  <dcterms:modified xsi:type="dcterms:W3CDTF">2022-09-14T05:35:00Z</dcterms:modified>
  <dc:language>en-US</dc:language>
</cp:coreProperties>
</file>