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  <w:ind w:firstLine="708"/>
        <w:jc w:val="both"/>
        <w:spacing w:line="360" w:lineRule="auto"/>
        <w:rPr>
          <w:rFonts w:ascii="Tinos" w:hAnsi="Tinos" w:eastAsia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color w:val="222222"/>
          <w:sz w:val="28"/>
          <w:szCs w:val="28"/>
        </w:rPr>
        <w:t xml:space="preserve">                         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00.09</w:t>
      </w:r>
      <w:r>
        <w:rPr>
          <w:rFonts w:ascii="Tinos" w:hAnsi="Tinos" w:eastAsia="Tinos" w:cs="Tinos"/>
          <w:b/>
          <w:bCs/>
          <w:color w:val="222222"/>
          <w:sz w:val="28"/>
          <w:szCs w:val="28"/>
        </w:rPr>
        <w:t xml:space="preserve">.2025</w:t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color w:val="222222"/>
          <w:sz w:val="28"/>
          <w:szCs w:val="28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color w:val="222222"/>
          <w:sz w:val="28"/>
          <w:szCs w:val="28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</w:p>
    <w:p>
      <w:pPr>
        <w:jc w:val="center"/>
        <w:spacing w:line="360" w:lineRule="auto"/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  <w:t xml:space="preserve">Календарь Победы. Черное золото</w:t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b/>
          <w:bCs/>
          <w:color w:val="24244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242440"/>
          <w:sz w:val="28"/>
          <w:szCs w:val="28"/>
          <w:highlight w:val="none"/>
        </w:rPr>
        <w:t xml:space="preserve">     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В год 80-летия окончания Великой Отечественной войны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самарский Росреестр  продолжает вести </w:t>
      </w:r>
      <w:r>
        <w:rPr>
          <w:rFonts w:ascii="Tinos" w:hAnsi="Tinos" w:eastAsia="Tinos" w:cs="Tinos"/>
          <w:b/>
          <w:bCs/>
          <w:sz w:val="28"/>
          <w:szCs w:val="28"/>
          <w:highlight w:val="none"/>
          <w:u w:val="none"/>
        </w:rPr>
        <w:t xml:space="preserve">Календарь Победы.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И сегодня мы расскажем, как наш регион занял лидирующие позиции по добыче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«черного золота».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</w:r>
    </w:p>
    <w:p>
      <w:pPr>
        <w:jc w:val="both"/>
        <w:spacing w:line="360" w:lineRule="auto"/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В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 связи с усилением группировки немецких войск на Кавказе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осенью 1942 года усилилась роль восточных регионов СССР в добыче нефти. </w:t>
      </w:r>
      <w:r>
        <w:rPr>
          <w:rFonts w:ascii="Tinos" w:hAnsi="Tinos" w:eastAsia="Tinos" w:cs="Tinos"/>
          <w:b/>
          <w:bCs/>
          <w:sz w:val="28"/>
          <w:szCs w:val="28"/>
          <w:highlight w:val="white"/>
          <w:u w:val="none"/>
        </w:rPr>
        <w:t xml:space="preserve">22 сентября 1942 года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 Госкомитет Обороны принял постановление о создании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в Волго-Уральском регионе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 нефтедобывающей и нефтеперерабатывающей промышленности.</w:t>
      </w:r>
      <w:r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</w:r>
    </w:p>
    <w:p>
      <w:pPr>
        <w:jc w:val="both"/>
        <w:spacing w:line="360" w:lineRule="auto"/>
        <w:rPr>
          <w:rFonts w:ascii="Tinos" w:hAnsi="Tinos" w:cs="Tinos"/>
          <w:b/>
          <w:bCs/>
          <w:highlight w:val="white"/>
          <w:u w:val="singl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В то время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 Куйбышевская область являлась ведущим перспективным регионом и стала называться «Вторым Баку». Именно сюда из Баку были направлены более 5 тысяч геологов, буровиков и нефтяников. В 1943 году благодаря куйбышевским нефтяникам добыча нефти в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ыросла на 42%.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</w:r>
    </w:p>
    <w:p>
      <w:pPr>
        <w:jc w:val="both"/>
        <w:spacing w:line="360" w:lineRule="auto"/>
        <w:rPr>
          <w:rFonts w:ascii="Tinos" w:hAnsi="Tinos" w:cs="Tinos"/>
          <w:b/>
          <w:bCs/>
          <w:highlight w:val="white"/>
          <w:u w:val="singl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З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а рекордно короткий срок был построен Сызранский нефтеперерабатывающий завод, откуда первым эшелоном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отправили топливо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 в Сталинград.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Куйбышевским бензином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ежедневно заправлялись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более тысячи советских танков. В 1942-1943 гг. в области был построен </w:t>
      </w:r>
      <w:r>
        <w:rPr>
          <w:rFonts w:ascii="Tinos" w:hAnsi="Tinos" w:eastAsia="Tinos" w:cs="Tinos"/>
          <w:b/>
          <w:bCs/>
          <w:sz w:val="28"/>
          <w:szCs w:val="28"/>
          <w:highlight w:val="white"/>
          <w:u w:val="none"/>
        </w:rPr>
        <w:t xml:space="preserve">самый круп</w:t>
      </w:r>
      <w:r>
        <w:rPr>
          <w:rFonts w:ascii="Tinos" w:hAnsi="Tinos" w:eastAsia="Tinos" w:cs="Tinos"/>
          <w:b/>
          <w:bCs/>
          <w:sz w:val="28"/>
          <w:szCs w:val="28"/>
          <w:highlight w:val="white"/>
          <w:u w:val="none"/>
        </w:rPr>
        <w:t xml:space="preserve">ный для того времени газопровод Бугуруслан – Куйбышев.</w:t>
      </w:r>
      <w:r>
        <w:rPr>
          <w:rFonts w:ascii="Tinos" w:hAnsi="Tinos" w:eastAsia="Tinos" w:cs="Tinos"/>
          <w:b/>
          <w:bCs/>
          <w:sz w:val="28"/>
          <w:szCs w:val="28"/>
          <w:highlight w:val="white"/>
          <w:u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white"/>
          <w:u w:val="none"/>
        </w:rPr>
      </w:r>
    </w:p>
    <w:p>
      <w:pPr>
        <w:jc w:val="both"/>
        <w:spacing w:line="360" w:lineRule="auto"/>
        <w:rPr>
          <w:rFonts w:ascii="Tinos" w:hAnsi="Tinos" w:cs="Tinos"/>
          <w:b/>
          <w:bCs/>
          <w:highlight w:val="white"/>
          <w:u w:val="singl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  <w:u w:val="none"/>
        </w:rPr>
        <w:t xml:space="preserve">       </w:t>
      </w:r>
      <w:r>
        <w:rPr>
          <w:rFonts w:ascii="Tinos" w:hAnsi="Tinos" w:eastAsia="Tinos" w:cs="Tinos"/>
          <w:b w:val="0"/>
          <w:bCs w:val="0"/>
          <w:sz w:val="28"/>
          <w:szCs w:val="28"/>
          <w:highlight w:val="white"/>
          <w:u w:val="none"/>
        </w:rPr>
        <w:t xml:space="preserve">9 июня 1944 года была открыта скважина девонской нефти в Яблоневом Овраге, которая выдавала 212 тонн нефти в сутки.</w:t>
      </w:r>
      <w:r/>
      <w:r>
        <w:rPr>
          <w:rFonts w:ascii="Tinos" w:hAnsi="Tinos" w:cs="Tinos"/>
          <w:b w:val="0"/>
          <w:bCs w:val="0"/>
          <w:sz w:val="28"/>
          <w:szCs w:val="28"/>
          <w:highlight w:val="white"/>
          <w:u w:val="none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539125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 подгот</w:t>
      </w:r>
      <w:r>
        <w:rPr>
          <w:rFonts w:ascii="Times New Roman" w:hAnsi="Times New Roman" w:cs="Times New Roman"/>
        </w:rPr>
        <w:t xml:space="preserve">овлен </w:t>
      </w:r>
      <w:r>
        <w:rPr>
          <w:rFonts w:ascii="Times New Roman" w:hAnsi="Times New Roman" w:cs="Times New Roman"/>
        </w:rPr>
        <w:t xml:space="preserve">Управлением </w:t>
      </w:r>
      <w:r>
        <w:rPr>
          <w:rFonts w:ascii="Times New Roman" w:hAnsi="Times New Roman" w:cs="Times New Roman"/>
        </w:rPr>
        <w:t xml:space="preserve">Росреестра по Самарской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7"/>
    <w:link w:val="709"/>
    <w:uiPriority w:val="10"/>
    <w:rPr>
      <w:sz w:val="48"/>
      <w:szCs w:val="48"/>
    </w:rPr>
  </w:style>
  <w:style w:type="character" w:styleId="680">
    <w:name w:val="Subtitle Char"/>
    <w:basedOn w:val="697"/>
    <w:link w:val="711"/>
    <w:uiPriority w:val="11"/>
    <w:rPr>
      <w:sz w:val="24"/>
      <w:szCs w:val="24"/>
    </w:rPr>
  </w:style>
  <w:style w:type="character" w:styleId="681">
    <w:name w:val="Quote Char"/>
    <w:link w:val="713"/>
    <w:uiPriority w:val="29"/>
    <w:rPr>
      <w:i/>
    </w:rPr>
  </w:style>
  <w:style w:type="character" w:styleId="682">
    <w:name w:val="Intense Quote Char"/>
    <w:link w:val="715"/>
    <w:uiPriority w:val="30"/>
    <w:rPr>
      <w:i/>
    </w:rPr>
  </w:style>
  <w:style w:type="character" w:styleId="683">
    <w:name w:val="Header Char"/>
    <w:basedOn w:val="697"/>
    <w:link w:val="717"/>
    <w:uiPriority w:val="99"/>
  </w:style>
  <w:style w:type="character" w:styleId="684">
    <w:name w:val="Caption Char"/>
    <w:basedOn w:val="721"/>
    <w:link w:val="719"/>
    <w:uiPriority w:val="99"/>
  </w:style>
  <w:style w:type="character" w:styleId="685">
    <w:name w:val="Footnote Text Char"/>
    <w:link w:val="850"/>
    <w:uiPriority w:val="99"/>
    <w:rPr>
      <w:sz w:val="18"/>
    </w:rPr>
  </w:style>
  <w:style w:type="character" w:styleId="686">
    <w:name w:val="Endnote Text Char"/>
    <w:link w:val="853"/>
    <w:uiPriority w:val="99"/>
    <w:rPr>
      <w:sz w:val="20"/>
    </w:rPr>
  </w:style>
  <w:style w:type="paragraph" w:styleId="687" w:default="1">
    <w:name w:val="Normal"/>
    <w:qFormat/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687"/>
    <w:next w:val="687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link w:val="709"/>
    <w:uiPriority w:val="10"/>
    <w:rPr>
      <w:sz w:val="48"/>
      <w:szCs w:val="48"/>
    </w:rPr>
  </w:style>
  <w:style w:type="paragraph" w:styleId="711">
    <w:name w:val="Subtitle"/>
    <w:basedOn w:val="687"/>
    <w:next w:val="687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link w:val="711"/>
    <w:uiPriority w:val="11"/>
    <w:rPr>
      <w:sz w:val="24"/>
      <w:szCs w:val="24"/>
    </w:rPr>
  </w:style>
  <w:style w:type="paragraph" w:styleId="713">
    <w:name w:val="Quote"/>
    <w:basedOn w:val="687"/>
    <w:next w:val="687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7"/>
    <w:next w:val="687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link w:val="717"/>
    <w:uiPriority w:val="99"/>
  </w:style>
  <w:style w:type="paragraph" w:styleId="719">
    <w:name w:val="Footer"/>
    <w:basedOn w:val="687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uiPriority w:val="99"/>
  </w:style>
  <w:style w:type="paragraph" w:styleId="721">
    <w:name w:val="Caption"/>
    <w:basedOn w:val="687"/>
    <w:next w:val="68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4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3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4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5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6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7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8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7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6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7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8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9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0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1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4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5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6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7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8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68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687"/>
    <w:next w:val="687"/>
    <w:uiPriority w:val="39"/>
    <w:unhideWhenUsed/>
    <w:pPr>
      <w:spacing w:after="57"/>
    </w:pPr>
  </w:style>
  <w:style w:type="paragraph" w:styleId="857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8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9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60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61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2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3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4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7"/>
    <w:next w:val="687"/>
    <w:uiPriority w:val="99"/>
    <w:unhideWhenUsed/>
    <w:pPr>
      <w:spacing w:after="0"/>
    </w:pPr>
  </w:style>
  <w:style w:type="paragraph" w:styleId="867">
    <w:name w:val="No Spacing"/>
    <w:basedOn w:val="687"/>
    <w:uiPriority w:val="1"/>
    <w:qFormat/>
    <w:pPr>
      <w:spacing w:after="0" w:line="240" w:lineRule="auto"/>
    </w:pPr>
  </w:style>
  <w:style w:type="paragraph" w:styleId="868">
    <w:name w:val="List Paragraph"/>
    <w:basedOn w:val="687"/>
    <w:uiPriority w:val="34"/>
    <w:qFormat/>
    <w:pPr>
      <w:contextualSpacing/>
      <w:ind w:left="720"/>
    </w:pPr>
  </w:style>
  <w:style w:type="paragraph" w:styleId="869" w:customStyle="1">
    <w:name w:val="Обычный (веб)"/>
    <w:next w:val="67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Основной текст 3"/>
    <w:next w:val="672"/>
    <w:link w:val="67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55</cp:revision>
  <dcterms:created xsi:type="dcterms:W3CDTF">2025-04-09T05:40:00Z</dcterms:created>
  <dcterms:modified xsi:type="dcterms:W3CDTF">2025-09-05T05:49:30Z</dcterms:modified>
</cp:coreProperties>
</file>