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21.05.2025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131111"/>
          <w:sz w:val="28"/>
          <w:szCs w:val="28"/>
        </w:rPr>
      </w:pPr>
      <w:r>
        <w:rPr>
          <w:rFonts w:ascii="Tinos" w:hAnsi="Tinos" w:eastAsia="Tinos" w:cs="Tinos"/>
          <w:b/>
          <w:bCs/>
          <w:color w:val="13111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131111"/>
          <w:sz w:val="28"/>
          <w:szCs w:val="28"/>
        </w:rPr>
      </w:r>
      <w:r>
        <w:rPr>
          <w:rFonts w:ascii="Tinos" w:hAnsi="Tinos" w:eastAsia="Tinos" w:cs="Tinos"/>
          <w:b/>
          <w:bCs/>
          <w:color w:val="131111"/>
          <w:sz w:val="28"/>
          <w:szCs w:val="28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131111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131111"/>
          <w:sz w:val="28"/>
          <w:szCs w:val="28"/>
        </w:rPr>
      </w:r>
      <w:r>
        <w:rPr>
          <w:rFonts w:ascii="Tinos" w:hAnsi="Tinos" w:eastAsia="Tinos" w:cs="Tinos"/>
          <w:b/>
          <w:bCs/>
          <w:color w:val="131111"/>
          <w:sz w:val="28"/>
          <w:szCs w:val="28"/>
        </w:rPr>
        <w:t xml:space="preserve">Более 500 книжных изданий передали сотрудники самарского Росреестра для детских библиотек</w:t>
      </w:r>
      <w:r>
        <w:rPr>
          <w:rFonts w:ascii="Tinos" w:hAnsi="Tinos" w:eastAsia="Tinos" w:cs="Tinos"/>
          <w:b/>
          <w:bCs/>
          <w:color w:val="13111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131111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Сотрудники самарского Росреестра передали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260 килограммов книг –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более 500  книжных изданий из личной библиотеки - для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детских библиотек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России и ее новых регионов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   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  <w:szCs w:val="28"/>
          <w:highlight w:val="none"/>
        </w:rPr>
        <w:t xml:space="preserve">   «Собрания книг из серии «Школьная библиотека»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  <w:szCs w:val="28"/>
          <w:highlight w:val="none"/>
        </w:rPr>
        <w:t xml:space="preserve">, «Классики и современники», подписные издания, научная, учебная и художественная литература, энциклопедии, сборники поэзии, словари и журналы – стали возможностью подарить литературу тем, кто в ней нуждается, в особенности жителям освобожденных республик,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– говорит главный специалист-эксперт самарского Росреестра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Юлия Шумилина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. -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Это способ поддержать людей духовно в непростое для них время». 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color w:val="06060f"/>
          <w:sz w:val="28"/>
          <w:szCs w:val="28"/>
          <w:highlight w:val="white"/>
        </w:rPr>
        <w:t xml:space="preserve">Передать книги помогла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общественная благотворительная организация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«Вывозкниг.РФ».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Мы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сами укладываем и загружаем книги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– говорит сотрудник благотворительной организации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-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После этого издания поступают в сортировочный центр, где литература распределяется по библиотекам и учебным заведениям,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воскресным школам при храмах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 России и ее новых регионов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».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</w:t>
      </w:r>
      <w:r>
        <w:rPr>
          <w:rFonts w:ascii="Times New Roman" w:hAnsi="Times New Roman" w:cs="Times New Roman"/>
          <w:sz w:val="28"/>
          <w:szCs w:val="28"/>
        </w:rPr>
        <w:t xml:space="preserve">овлен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created xsi:type="dcterms:W3CDTF">2025-04-09T05:40:00Z</dcterms:created>
  <dcterms:modified xsi:type="dcterms:W3CDTF">2025-06-06T09:10:50Z</dcterms:modified>
</cp:coreProperties>
</file>