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DE" w:rsidRPr="007E29DE" w:rsidRDefault="007E29DE" w:rsidP="007E29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представителей</w:t>
      </w:r>
    </w:p>
    <w:p w:rsidR="007E29DE" w:rsidRPr="007E29DE" w:rsidRDefault="007E29DE" w:rsidP="007E29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Кинельский</w:t>
      </w:r>
    </w:p>
    <w:p w:rsidR="007E29DE" w:rsidRPr="007E29DE" w:rsidRDefault="007E29DE" w:rsidP="007E29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Кинельский </w:t>
      </w:r>
    </w:p>
    <w:p w:rsidR="007E29DE" w:rsidRPr="007E29DE" w:rsidRDefault="007E29DE" w:rsidP="007E29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</w:t>
      </w:r>
    </w:p>
    <w:p w:rsidR="007E29DE" w:rsidRPr="007E29DE" w:rsidRDefault="007E29DE" w:rsidP="007E29DE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E29DE" w:rsidRPr="007E29DE" w:rsidRDefault="007E29DE" w:rsidP="007E29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E29DE" w:rsidRPr="007E29DE" w:rsidRDefault="007E29DE" w:rsidP="007E29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7E29DE" w:rsidRPr="007E29DE" w:rsidRDefault="007E29DE" w:rsidP="007E29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Pr="007E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</w:t>
      </w:r>
      <w:r w:rsidR="001F2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16-1</w:t>
      </w: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               от </w:t>
      </w:r>
      <w:r w:rsidRPr="007E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</w:t>
      </w:r>
      <w:r w:rsidR="001F2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</w:t>
      </w:r>
      <w:r w:rsidRPr="007E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="001F2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декабря</w:t>
      </w:r>
      <w:r w:rsidRPr="007E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2023 года</w:t>
      </w:r>
    </w:p>
    <w:p w:rsidR="007E29DE" w:rsidRDefault="007E29DE" w:rsidP="007E29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479F0" w:rsidRPr="007E29DE" w:rsidRDefault="00F479F0" w:rsidP="007E29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  <w:t>«</w:t>
      </w: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отчета</w:t>
      </w: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выполнении Прогнозного плана</w:t>
      </w:r>
    </w:p>
    <w:p w:rsidR="001F23F2" w:rsidRPr="00566262" w:rsidRDefault="001F23F2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(Программы) приватизации                                                                              муниципального имущества </w:t>
      </w:r>
    </w:p>
    <w:p w:rsidR="001F23F2" w:rsidRPr="00566262" w:rsidRDefault="001F23F2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1F23F2" w:rsidRPr="00566262" w:rsidRDefault="001F23F2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Кинельский </w:t>
      </w:r>
    </w:p>
    <w:p w:rsidR="001F23F2" w:rsidRPr="00566262" w:rsidRDefault="001F23F2" w:rsidP="001F23F2">
      <w:pPr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:rsidR="00F479F0" w:rsidRDefault="00F479F0" w:rsidP="001F23F2">
      <w:pPr>
        <w:widowControl w:val="0"/>
        <w:tabs>
          <w:tab w:val="left" w:pos="9355"/>
        </w:tabs>
        <w:spacing w:after="0" w:line="360" w:lineRule="auto"/>
        <w:ind w:right="-1"/>
        <w:jc w:val="both"/>
        <w:rPr>
          <w:rFonts w:ascii="Times New Roman" w:eastAsia="andale sans ui;arial unicode ms" w:hAnsi="Times New Roman" w:cs="Times New Roman"/>
          <w:sz w:val="16"/>
          <w:szCs w:val="16"/>
          <w:lang w:eastAsia="zh-CN"/>
        </w:rPr>
      </w:pPr>
    </w:p>
    <w:p w:rsidR="00F479F0" w:rsidRDefault="00F479F0" w:rsidP="001F23F2">
      <w:pPr>
        <w:widowControl w:val="0"/>
        <w:tabs>
          <w:tab w:val="left" w:pos="9355"/>
        </w:tabs>
        <w:spacing w:after="0" w:line="360" w:lineRule="auto"/>
        <w:ind w:right="-1"/>
        <w:jc w:val="both"/>
        <w:rPr>
          <w:rFonts w:ascii="Times New Roman" w:eastAsia="andale sans ui;arial unicode ms" w:hAnsi="Times New Roman" w:cs="Times New Roman"/>
          <w:sz w:val="16"/>
          <w:szCs w:val="16"/>
          <w:lang w:eastAsia="zh-CN"/>
        </w:rPr>
      </w:pPr>
    </w:p>
    <w:p w:rsidR="00F479F0" w:rsidRPr="00F479F0" w:rsidRDefault="00F479F0" w:rsidP="001F23F2">
      <w:pPr>
        <w:widowControl w:val="0"/>
        <w:tabs>
          <w:tab w:val="left" w:pos="9355"/>
        </w:tabs>
        <w:spacing w:after="0" w:line="360" w:lineRule="auto"/>
        <w:ind w:right="-1"/>
        <w:jc w:val="both"/>
        <w:rPr>
          <w:rFonts w:ascii="Times New Roman" w:eastAsia="andale sans ui;arial unicode ms" w:hAnsi="Times New Roman" w:cs="Times New Roman"/>
          <w:sz w:val="16"/>
          <w:szCs w:val="16"/>
          <w:lang w:eastAsia="zh-CN"/>
        </w:rPr>
      </w:pPr>
    </w:p>
    <w:p w:rsidR="001F23F2" w:rsidRPr="00566262" w:rsidRDefault="001F23F2" w:rsidP="00F479F0">
      <w:pPr>
        <w:widowControl w:val="0"/>
        <w:tabs>
          <w:tab w:val="left" w:pos="9354"/>
        </w:tabs>
        <w:suppressAutoHyphens/>
        <w:spacing w:after="0" w:line="360" w:lineRule="auto"/>
        <w:ind w:right="-2"/>
        <w:jc w:val="both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      </w:t>
      </w:r>
      <w:proofErr w:type="gramStart"/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В соответствии с Федеральным законом от 21.12.2001 года №178-ФЗ «О приватизации государственного и муниципального имущества», 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D166E9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>рогнозного плана (программы) приватизации муниципального имущества сельского поселения Кинельский муниципального района Кинельски</w:t>
      </w:r>
      <w:r w:rsidR="00923538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>й Самарской области на 2023 год</w:t>
      </w:r>
      <w:r w:rsidR="009235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утвержденного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Собранием представителей сельского поселения </w:t>
      </w:r>
      <w:r w:rsidR="009235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Кинельский Самарской области № </w:t>
      </w:r>
      <w:r w:rsidR="009235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167-1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</w:t>
      </w:r>
      <w:r w:rsidR="009235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</w:t>
      </w:r>
      <w:r w:rsidR="009235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.202</w:t>
      </w:r>
      <w:r w:rsidR="009235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 </w:t>
      </w:r>
      <w:r w:rsidR="00F479F0" w:rsidRPr="00D166E9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>«Об утверждении прогнозного плана (программы) приватизации муниципального имущества сельского поселения Кинельский</w:t>
      </w:r>
      <w:proofErr w:type="gramEnd"/>
      <w:r w:rsidR="00F479F0" w:rsidRPr="00D166E9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 xml:space="preserve"> муниципального района Кинельский Самарской области на 2023 год»</w:t>
      </w:r>
      <w:r w:rsidRPr="00566262">
        <w:rPr>
          <w:rFonts w:ascii="Times New Roman" w:eastAsia="andale sans ui;arial unicode ms" w:hAnsi="Times New Roman" w:cs="Times New Roman"/>
          <w:bCs/>
          <w:sz w:val="28"/>
          <w:szCs w:val="28"/>
          <w:lang w:eastAsia="zh-CN"/>
        </w:rPr>
        <w:t>,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руководствуясь Уставом сельского поселения </w:t>
      </w:r>
      <w:r w:rsidR="00F479F0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области, Собрание представителей сельского поселения </w:t>
      </w:r>
      <w:r w:rsidR="00F479F0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</w:t>
      </w:r>
    </w:p>
    <w:p w:rsidR="001F23F2" w:rsidRPr="00566262" w:rsidRDefault="001F23F2" w:rsidP="00F479F0">
      <w:pPr>
        <w:widowControl w:val="0"/>
        <w:spacing w:after="0" w:line="360" w:lineRule="auto"/>
        <w:ind w:firstLine="540"/>
        <w:jc w:val="center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  <w:t>РЕШИЛО:</w:t>
      </w:r>
    </w:p>
    <w:p w:rsidR="00F479F0" w:rsidRPr="00F479F0" w:rsidRDefault="00F479F0" w:rsidP="00F479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      </w:t>
      </w:r>
      <w:r w:rsidR="001F23F2"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1. 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отчет </w:t>
      </w:r>
      <w:r w:rsidRPr="00F479F0">
        <w:rPr>
          <w:rFonts w:ascii="Times New Roman" w:eastAsia="Times New Roman" w:hAnsi="Times New Roman" w:cs="Times New Roman"/>
          <w:sz w:val="28"/>
          <w:szCs w:val="28"/>
          <w:lang w:eastAsia="zh-CN"/>
        </w:rPr>
        <w:t>о выполнении Прогнозного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(Программы) приватизации </w:t>
      </w:r>
      <w:r w:rsidRPr="00F479F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79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Кинельский </w:t>
      </w:r>
    </w:p>
    <w:p w:rsidR="001F23F2" w:rsidRPr="00566262" w:rsidRDefault="00F479F0" w:rsidP="00F479F0">
      <w:pPr>
        <w:spacing w:after="0" w:line="360" w:lineRule="auto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F479F0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униципального района Кинельский </w:t>
      </w:r>
      <w:r w:rsidRPr="00F479F0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Самарской области за 2023 год</w:t>
      </w:r>
      <w:r w:rsidR="001F23F2" w:rsidRPr="00F479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(прилагается).</w:t>
      </w:r>
    </w:p>
    <w:p w:rsidR="001F23F2" w:rsidRPr="00566262" w:rsidRDefault="00F479F0" w:rsidP="00F479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1F23F2"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Настоящее решение, а также приложение опубликовать в газете </w:t>
      </w:r>
      <w:r w:rsidRPr="00D166E9">
        <w:rPr>
          <w:rFonts w:ascii="Times New Roman" w:eastAsia="Lucida Sans Unicode" w:hAnsi="Times New Roman" w:cs="Tahoma"/>
          <w:spacing w:val="2"/>
          <w:kern w:val="2"/>
          <w:sz w:val="28"/>
          <w:szCs w:val="28"/>
          <w:lang w:eastAsia="zh-CN" w:bidi="hi-IN"/>
        </w:rPr>
        <w:t>«Вестник» сельского поселения Кинельский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</w:t>
      </w:r>
      <w:r w:rsidR="001F23F2"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и разместить на официальных сайтах в сети «Интернет»:</w:t>
      </w:r>
    </w:p>
    <w:p w:rsidR="001F23F2" w:rsidRPr="00566262" w:rsidRDefault="001F23F2" w:rsidP="00F479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="00F47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566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Адрес официального сайта 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района Кинельский: </w:t>
      </w:r>
      <w:hyperlink r:id="rId6" w:tooltip="http://www.kinel.ru/" w:history="1">
        <w:r w:rsidRPr="0056626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zh-CN"/>
          </w:rPr>
          <w:t>www.kinel.ru</w:t>
        </w:r>
      </w:hyperlink>
      <w:r w:rsidRPr="005662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F23F2" w:rsidRPr="00566262" w:rsidRDefault="001F23F2" w:rsidP="00F479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Адрес официального сайта торгов: </w:t>
      </w:r>
      <w:hyperlink r:id="rId7" w:tooltip="http://www.torgi.gov.ru/" w:history="1">
        <w:r w:rsidRPr="0056626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zh-CN"/>
          </w:rPr>
          <w:t>http://www.torgi.gov.ru</w:t>
        </w:r>
      </w:hyperlink>
      <w:r w:rsidRPr="005662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F23F2" w:rsidRDefault="001F23F2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479F0" w:rsidRDefault="00F479F0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479F0" w:rsidRPr="00F479F0" w:rsidRDefault="00F479F0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1F23F2" w:rsidRPr="00566262" w:rsidRDefault="001F23F2" w:rsidP="001F2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79F0" w:rsidRPr="007E29DE" w:rsidRDefault="00F479F0" w:rsidP="00F479F0">
      <w:pPr>
        <w:tabs>
          <w:tab w:val="left" w:pos="2780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Собрания Представителей</w:t>
      </w:r>
    </w:p>
    <w:p w:rsidR="00F479F0" w:rsidRPr="007E29DE" w:rsidRDefault="00F479F0" w:rsidP="00F479F0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Кинельский</w:t>
      </w:r>
    </w:p>
    <w:p w:rsidR="00F479F0" w:rsidRPr="007E29DE" w:rsidRDefault="00F479F0" w:rsidP="00F479F0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Кинельский</w:t>
      </w:r>
    </w:p>
    <w:p w:rsidR="00F479F0" w:rsidRPr="007E29DE" w:rsidRDefault="00F479F0" w:rsidP="00F479F0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 О. А. </w:t>
      </w:r>
      <w:proofErr w:type="spellStart"/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Жирун</w:t>
      </w:r>
      <w:proofErr w:type="spellEnd"/>
    </w:p>
    <w:p w:rsidR="00F479F0" w:rsidRPr="007E29DE" w:rsidRDefault="00F479F0" w:rsidP="00F479F0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479F0" w:rsidRPr="007E29DE" w:rsidRDefault="00F479F0" w:rsidP="00F479F0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479F0" w:rsidRPr="007E29DE" w:rsidRDefault="00F479F0" w:rsidP="00F479F0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479F0" w:rsidRPr="007E29DE" w:rsidRDefault="00F479F0" w:rsidP="00F479F0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479F0" w:rsidRPr="007E29DE" w:rsidRDefault="00F479F0" w:rsidP="00F479F0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Кинельский</w:t>
      </w:r>
    </w:p>
    <w:p w:rsidR="00F479F0" w:rsidRPr="007E29DE" w:rsidRDefault="00F479F0" w:rsidP="00F479F0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Кинельский</w:t>
      </w:r>
    </w:p>
    <w:p w:rsidR="00F479F0" w:rsidRPr="007E29DE" w:rsidRDefault="00F479F0" w:rsidP="00F479F0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А. П. </w:t>
      </w:r>
      <w:proofErr w:type="spellStart"/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Пырков</w:t>
      </w:r>
      <w:proofErr w:type="spellEnd"/>
      <w:r w:rsidRPr="007E29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7E29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7E29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F479F0" w:rsidRDefault="00F479F0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F479F0" w:rsidRDefault="00F479F0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F479F0" w:rsidRDefault="00F479F0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F479F0" w:rsidRDefault="00F479F0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F479F0" w:rsidRPr="00566262" w:rsidRDefault="00F479F0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1F23F2" w:rsidRPr="00566262" w:rsidRDefault="001F23F2" w:rsidP="001F23F2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</w:p>
    <w:p w:rsidR="001F23F2" w:rsidRPr="00566262" w:rsidRDefault="001F23F2" w:rsidP="001F23F2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 Решению Собрания представителей</w:t>
      </w:r>
    </w:p>
    <w:p w:rsidR="001F23F2" w:rsidRPr="00566262" w:rsidRDefault="001F23F2" w:rsidP="001F23F2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F479F0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</w:p>
    <w:p w:rsidR="001F23F2" w:rsidRPr="00566262" w:rsidRDefault="001F23F2" w:rsidP="001F23F2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муниципального района Кинельский </w:t>
      </w:r>
    </w:p>
    <w:p w:rsidR="001F23F2" w:rsidRPr="00566262" w:rsidRDefault="001F23F2" w:rsidP="001F23F2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Самарской области</w:t>
      </w:r>
    </w:p>
    <w:p w:rsidR="001F23F2" w:rsidRPr="00566262" w:rsidRDefault="001F23F2" w:rsidP="001F23F2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</w:pP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от «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2</w:t>
      </w:r>
      <w:r w:rsidR="00F479F0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1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» </w:t>
      </w:r>
      <w:r w:rsidRPr="00F479F0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декабря 202</w:t>
      </w:r>
      <w:r w:rsidR="00F479F0" w:rsidRPr="00F479F0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3</w:t>
      </w:r>
      <w:r w:rsidRPr="00F479F0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 xml:space="preserve"> года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№ </w:t>
      </w:r>
      <w:r w:rsidRPr="00566262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2</w:t>
      </w:r>
      <w:r w:rsidR="00F479F0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16-1</w:t>
      </w:r>
    </w:p>
    <w:p w:rsidR="001F23F2" w:rsidRPr="00566262" w:rsidRDefault="001F23F2" w:rsidP="001F23F2">
      <w:pPr>
        <w:widowControl w:val="0"/>
        <w:spacing w:after="0" w:line="360" w:lineRule="auto"/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</w:pPr>
    </w:p>
    <w:p w:rsidR="001F23F2" w:rsidRPr="00566262" w:rsidRDefault="001F23F2" w:rsidP="001F23F2">
      <w:pPr>
        <w:widowControl w:val="0"/>
        <w:spacing w:after="0"/>
        <w:jc w:val="center"/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  <w:t>ОТЧЕТ</w:t>
      </w:r>
    </w:p>
    <w:p w:rsidR="00F479F0" w:rsidRPr="00566262" w:rsidRDefault="00F479F0" w:rsidP="00F479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выполнении Прогнозного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(Программы) приватизации                                                                             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</w:p>
    <w:p w:rsidR="00F479F0" w:rsidRPr="00566262" w:rsidRDefault="00F479F0" w:rsidP="00F479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района Кинельский</w:t>
      </w:r>
    </w:p>
    <w:p w:rsidR="001F23F2" w:rsidRDefault="00F479F0" w:rsidP="00F479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5662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F479F0" w:rsidRPr="00566262" w:rsidRDefault="00F479F0" w:rsidP="00F479F0">
      <w:pPr>
        <w:widowControl w:val="0"/>
        <w:spacing w:after="0"/>
        <w:jc w:val="center"/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</w:pPr>
    </w:p>
    <w:p w:rsidR="001F23F2" w:rsidRPr="00566262" w:rsidRDefault="001F23F2" w:rsidP="001F23F2">
      <w:pPr>
        <w:shd w:val="clear" w:color="auto" w:fill="FFFFFF"/>
        <w:spacing w:after="0"/>
        <w:ind w:firstLine="708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proofErr w:type="gramStart"/>
      <w:r w:rsidRPr="005662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Правительства Российской Федерации от 27.08.2012 года</w:t>
      </w:r>
      <w:r w:rsidR="00F479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="00F479F0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860 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«Об организации и проведении продажи государственного или муниципального имущества в электронной форме», на основании прогнозного плана (программы) приватизации муниципального имущества сельского поселения </w:t>
      </w:r>
      <w:r w:rsidR="00F479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Кинельский Самарской области на 202</w:t>
      </w:r>
      <w:r w:rsidR="004F5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год, утвержденный Собранием представителей сельского</w:t>
      </w:r>
      <w:proofErr w:type="gramEnd"/>
      <w:r w:rsidR="00F479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поселения </w:t>
      </w:r>
      <w:r w:rsidR="00F479F0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Кинельский Самарской области №1</w:t>
      </w:r>
      <w:r w:rsidR="004F5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67-1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</w:t>
      </w:r>
      <w:r w:rsidR="004F5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</w:t>
      </w:r>
      <w:r w:rsidR="004F5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.202</w:t>
      </w:r>
      <w:r w:rsidR="004F5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 «</w:t>
      </w:r>
      <w:r w:rsidR="004F5777" w:rsidRPr="00D166E9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>Об утверждении прогнозного плана (программы) приватизации муниципального имущества сельского поселения Кинельский муниципального района Кинельский Самарской области на 2023 год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5662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администрацией 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сельского поселения </w:t>
      </w:r>
      <w:r w:rsidR="004F5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Pr="005662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были проведены мероприятия по подготовке к приватизации объектов имущества, находящихся в муниципальной собственности. </w:t>
      </w:r>
      <w:proofErr w:type="gramEnd"/>
    </w:p>
    <w:p w:rsidR="001F23F2" w:rsidRPr="00566262" w:rsidRDefault="001F23F2" w:rsidP="001F23F2">
      <w:pPr>
        <w:shd w:val="clear" w:color="auto" w:fill="FFFFFF"/>
        <w:spacing w:after="0"/>
        <w:ind w:firstLine="567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</w:t>
      </w:r>
      <w:r w:rsidR="004F577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приоритетными направлениями приватизации муниципального имущества являлись:</w:t>
      </w:r>
    </w:p>
    <w:p w:rsidR="001F23F2" w:rsidRPr="00566262" w:rsidRDefault="004F5777" w:rsidP="004F57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 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Отчуждение муниципального имущества, которое не используется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</w:t>
      </w:r>
    </w:p>
    <w:p w:rsidR="001F23F2" w:rsidRPr="00566262" w:rsidRDefault="004F5777" w:rsidP="004F57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2. 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доходных источников бюджета </w:t>
      </w:r>
      <w:r w:rsidR="001F23F2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r w:rsidR="001F23F2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F23F2" w:rsidRPr="00566262" w:rsidRDefault="004F5777" w:rsidP="001F23F2">
      <w:pPr>
        <w:widowControl w:val="0"/>
        <w:spacing w:after="0"/>
        <w:ind w:firstLine="567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Прогнозным планом (Программой) приватизации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предполагалось провести приватизацию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объекта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области, </w:t>
      </w:r>
      <w:r w:rsidR="001F23F2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посредством проведения </w:t>
      </w:r>
      <w:r w:rsidR="001F23F2" w:rsidRPr="00566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в электронной форме, </w:t>
      </w:r>
      <w:r w:rsidR="001F23F2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электронной площадке https://utp.sberbank-ast.ru,в соответствии </w:t>
      </w:r>
      <w:r w:rsidR="001F23F2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 Федеральным законом от 21.12.2001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178-ФЗ</w:t>
      </w:r>
      <w:r w:rsidR="001F23F2" w:rsidRPr="00566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(с изменениями) «О приватизации государственного и муниципального имущества»</w:t>
      </w:r>
      <w:r w:rsidR="001F23F2"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End"/>
    </w:p>
    <w:p w:rsidR="001F23F2" w:rsidRPr="00566262" w:rsidRDefault="001F23F2" w:rsidP="001F23F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Начальная цена приватизируемого муниципального имущества определялась на основании отчет</w:t>
      </w:r>
      <w:r w:rsidR="004F577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оценке, </w:t>
      </w:r>
      <w:proofErr w:type="gramStart"/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выполненных</w:t>
      </w:r>
      <w:proofErr w:type="gramEnd"/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действующим законодательством.</w:t>
      </w:r>
    </w:p>
    <w:p w:rsidR="001F23F2" w:rsidRPr="00566262" w:rsidRDefault="001F23F2" w:rsidP="001F23F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состоянию на 01января 2023 года, предполагаемая приватизация </w:t>
      </w:r>
      <w:r w:rsidR="004F5777">
        <w:rPr>
          <w:rFonts w:ascii="Times New Roman" w:eastAsia="Times New Roman" w:hAnsi="Times New Roman" w:cs="Times New Roman"/>
          <w:sz w:val="28"/>
          <w:szCs w:val="28"/>
          <w:lang w:eastAsia="zh-CN"/>
        </w:rPr>
        <w:t>1 объекта</w:t>
      </w: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имущества сельского поселения </w:t>
      </w:r>
      <w:r w:rsidR="004F5777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Кинельский Самарской области, </w:t>
      </w:r>
      <w:r w:rsidR="004F57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56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реализована. </w:t>
      </w:r>
    </w:p>
    <w:p w:rsidR="004F5777" w:rsidRPr="00D166E9" w:rsidRDefault="004F5777" w:rsidP="004F5777">
      <w:pPr>
        <w:widowControl w:val="0"/>
        <w:tabs>
          <w:tab w:val="left" w:pos="6444"/>
        </w:tabs>
        <w:suppressAutoHyphens/>
        <w:spacing w:after="0" w:line="240" w:lineRule="auto"/>
        <w:ind w:firstLine="75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4F5777" w:rsidRPr="00566262" w:rsidRDefault="004F5777" w:rsidP="001F23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tbl>
      <w:tblPr>
        <w:tblW w:w="1106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710"/>
        <w:gridCol w:w="1132"/>
        <w:gridCol w:w="851"/>
        <w:gridCol w:w="1418"/>
        <w:gridCol w:w="1417"/>
        <w:gridCol w:w="1417"/>
        <w:gridCol w:w="1001"/>
      </w:tblGrid>
      <w:tr w:rsidR="001F23F2" w:rsidRPr="00566262" w:rsidTr="004F5777">
        <w:trPr>
          <w:cantSplit/>
          <w:trHeight w:val="1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№</w:t>
            </w:r>
          </w:p>
          <w:p w:rsidR="001F23F2" w:rsidRPr="004F5777" w:rsidRDefault="001F23F2" w:rsidP="00D43184">
            <w:pPr>
              <w:tabs>
                <w:tab w:val="left" w:pos="34"/>
                <w:tab w:val="left" w:pos="318"/>
              </w:tabs>
              <w:spacing w:after="0" w:line="240" w:lineRule="auto"/>
              <w:ind w:left="-108" w:right="10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имущества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1F23F2" w:rsidRPr="004F5777" w:rsidRDefault="001F23F2" w:rsidP="00D43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hi-IN"/>
              </w:rPr>
              <w:t>Способ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hi-IN"/>
              </w:rPr>
              <w:t>приватизации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Месторасположение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hi-IN"/>
              </w:rPr>
            </w:pPr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Общая площадь, кв. м, кол-во,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Ориентировочная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начальная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цена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руб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Рыночная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оценка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руб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.</w:t>
            </w:r>
          </w:p>
          <w:p w:rsidR="001F23F2" w:rsidRPr="004F5777" w:rsidRDefault="001F23F2" w:rsidP="00D43184">
            <w:pPr>
              <w:widowControl w:val="0"/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Цена продажи имущества по итогам торгов, руб.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Примечания</w:t>
            </w:r>
            <w:proofErr w:type="spellEnd"/>
            <w:r w:rsidRPr="004F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1F23F2" w:rsidRPr="00566262" w:rsidTr="004F577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4F5777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4F5777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1F23F2" w:rsidRPr="004F5777" w:rsidRDefault="001F23F2" w:rsidP="00D43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F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Продажа муниципального имущества на аукционе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F5777" w:rsidRPr="004F5777" w:rsidRDefault="004F5777" w:rsidP="004F5777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4F5777" w:rsidRPr="004F5777" w:rsidRDefault="004F5777" w:rsidP="004F5777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Кинельский район, </w:t>
            </w:r>
          </w:p>
          <w:p w:rsidR="004F5777" w:rsidRPr="004F5777" w:rsidRDefault="004F5777" w:rsidP="004F5777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Кинельский, </w:t>
            </w:r>
          </w:p>
          <w:p w:rsidR="001F23F2" w:rsidRPr="004F5777" w:rsidRDefault="004F5777" w:rsidP="004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4F5777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4F5777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1F23F2" w:rsidRPr="00566262" w:rsidTr="004F5777">
        <w:trPr>
          <w:cantSplit/>
          <w:trHeight w:val="9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F5777" w:rsidRPr="004F5777" w:rsidRDefault="004F5777" w:rsidP="004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4F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  <w:p w:rsidR="004F5777" w:rsidRPr="004F5777" w:rsidRDefault="004F5777" w:rsidP="004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F23F2" w:rsidRPr="004F5777" w:rsidRDefault="001F23F2" w:rsidP="00D4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3F2" w:rsidRPr="004F5777" w:rsidRDefault="001F23F2" w:rsidP="00D43184">
            <w:pPr>
              <w:rPr>
                <w:rFonts w:ascii="Calibri" w:eastAsia="Calibri" w:hAnsi="Calibri" w:cs="Calibri"/>
                <w:sz w:val="24"/>
                <w:szCs w:val="24"/>
                <w:lang w:val="en-US" w:bidi="hi-IN"/>
              </w:rPr>
            </w:pPr>
          </w:p>
        </w:tc>
      </w:tr>
    </w:tbl>
    <w:p w:rsidR="007E29DE" w:rsidRPr="007E29DE" w:rsidRDefault="007E29DE" w:rsidP="007E29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7E29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 wp14:anchorId="0ADA0D98" wp14:editId="6A48460D">
                <wp:simplePos x="0" y="0"/>
                <wp:positionH relativeFrom="margin">
                  <wp:posOffset>-268605</wp:posOffset>
                </wp:positionH>
                <wp:positionV relativeFrom="paragraph">
                  <wp:posOffset>168910</wp:posOffset>
                </wp:positionV>
                <wp:extent cx="6565900" cy="105029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0"/>
                              <w:gridCol w:w="565"/>
                              <w:gridCol w:w="4800"/>
                            </w:tblGrid>
                            <w:tr w:rsidR="007E29DE">
                              <w:tc>
                                <w:tcPr>
                                  <w:tcW w:w="4490" w:type="dxa"/>
                                  <w:hideMark/>
                                </w:tcPr>
                                <w:p w:rsidR="007E29DE" w:rsidRDefault="007E29DE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7E29DE" w:rsidRDefault="007E29DE">
                                  <w:pPr>
                                    <w:suppressAutoHyphens/>
                                    <w:snapToGrid w:val="0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0" w:type="dxa"/>
                                  <w:hideMark/>
                                </w:tcPr>
                                <w:p w:rsidR="007E29DE" w:rsidRDefault="007E29DE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29DE" w:rsidRDefault="007E29DE" w:rsidP="007E29DE">
                            <w:pPr>
                              <w:rPr>
                                <w:rFonts w:eastAsia="Times New Roman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5pt;margin-top:13.3pt;width:517pt;height:82.7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7c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90"/>
                        <w:gridCol w:w="565"/>
                        <w:gridCol w:w="4800"/>
                      </w:tblGrid>
                      <w:tr w:rsidR="007E29DE">
                        <w:tc>
                          <w:tcPr>
                            <w:tcW w:w="4490" w:type="dxa"/>
                            <w:hideMark/>
                          </w:tcPr>
                          <w:p w:rsidR="007E29DE" w:rsidRDefault="007E29DE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:rsidR="007E29DE" w:rsidRDefault="007E29DE">
                            <w:pPr>
                              <w:suppressAutoHyphens/>
                              <w:snapToGrid w:val="0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800" w:type="dxa"/>
                            <w:hideMark/>
                          </w:tcPr>
                          <w:p w:rsidR="007E29DE" w:rsidRDefault="007E29DE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7E29DE" w:rsidRDefault="007E29DE" w:rsidP="007E29DE">
                      <w:pPr>
                        <w:rPr>
                          <w:rFonts w:eastAsia="Times New Roman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29DE" w:rsidRPr="007E29DE" w:rsidSect="00F479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7"/>
        <w:szCs w:val="27"/>
        <w:lang w:eastAsia="ar-SA"/>
      </w:rPr>
    </w:lvl>
  </w:abstractNum>
  <w:abstractNum w:abstractNumId="1">
    <w:nsid w:val="34D51023"/>
    <w:multiLevelType w:val="hybridMultilevel"/>
    <w:tmpl w:val="98A68E72"/>
    <w:lvl w:ilvl="0" w:tplc="19F0677E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/>
        <w:sz w:val="28"/>
        <w:szCs w:val="28"/>
      </w:rPr>
    </w:lvl>
    <w:lvl w:ilvl="1" w:tplc="C6F8D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54A9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9C6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EC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84D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0AB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6AA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24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26"/>
    <w:rsid w:val="001F23F2"/>
    <w:rsid w:val="00466F4A"/>
    <w:rsid w:val="004C6BC3"/>
    <w:rsid w:val="004F5777"/>
    <w:rsid w:val="00566262"/>
    <w:rsid w:val="007E29DE"/>
    <w:rsid w:val="00923538"/>
    <w:rsid w:val="00ED5D26"/>
    <w:rsid w:val="00F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6</cp:revision>
  <cp:lastPrinted>2024-01-10T12:43:00Z</cp:lastPrinted>
  <dcterms:created xsi:type="dcterms:W3CDTF">2024-01-10T07:42:00Z</dcterms:created>
  <dcterms:modified xsi:type="dcterms:W3CDTF">2024-01-10T12:43:00Z</dcterms:modified>
</cp:coreProperties>
</file>