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26" w:rsidRDefault="00F15326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15326" w:rsidRDefault="00F15326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постановлением администрации муниципального района Кинельский</w:t>
      </w:r>
    </w:p>
    <w:p w:rsidR="00F15326" w:rsidRDefault="00DF72DD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2036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декабря</w:t>
      </w:r>
      <w:r w:rsidR="00F15326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326" w:rsidRDefault="00F15326" w:rsidP="00F1532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и поддержка малого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муниципальном районе Кинельский на 20</w:t>
      </w:r>
      <w:r w:rsidR="00BA473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A47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F15326" w:rsidRDefault="00F70765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F153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5326" w:rsidRDefault="00F15326" w:rsidP="00A950C8">
      <w:pPr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Наименование программы</w:t>
      </w: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Муниципальная программа «Развитие и поддержка малого и среднего предпринимательства в муниципальном районе Кинельский на 20</w:t>
      </w:r>
      <w:r w:rsidR="00BA473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BA47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гг.».</w:t>
      </w: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</w:p>
    <w:p w:rsidR="00F15326" w:rsidRDefault="00F15326" w:rsidP="00A950C8">
      <w:pPr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Цели и задачи программы</w:t>
      </w: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Цель Программы – </w:t>
      </w:r>
      <w:r w:rsidR="00BA4739">
        <w:rPr>
          <w:rFonts w:ascii="Times New Roman" w:hAnsi="Times New Roman"/>
          <w:sz w:val="28"/>
          <w:szCs w:val="28"/>
        </w:rPr>
        <w:t>содействие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района Кинельский.</w:t>
      </w:r>
    </w:p>
    <w:p w:rsidR="00F15326" w:rsidRDefault="00F15326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Задачи Программы:</w:t>
      </w:r>
    </w:p>
    <w:p w:rsidR="00BA4739" w:rsidRDefault="00BA473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инфраструктуры поддержки малого и среднего предпринимательства, развитие системы информационной, консультационной и имущественной поддержки субъектов малого и среднего предпринимательства по вопросам эффективного управления, направленного на повышение конкурентоспособности (работ, услуг);</w:t>
      </w:r>
    </w:p>
    <w:p w:rsidR="00127599" w:rsidRDefault="00BA473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="00127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информационной поддержки, подготовки, переподготовки и повышения </w:t>
      </w:r>
      <w:r w:rsidR="00127599">
        <w:rPr>
          <w:rFonts w:ascii="Times New Roman" w:hAnsi="Times New Roman"/>
          <w:sz w:val="28"/>
          <w:szCs w:val="28"/>
        </w:rPr>
        <w:t xml:space="preserve">квалификации кадров для субъектов малого и среднего </w:t>
      </w:r>
      <w:r w:rsidR="00127599">
        <w:rPr>
          <w:rFonts w:ascii="Times New Roman" w:hAnsi="Times New Roman"/>
          <w:sz w:val="28"/>
          <w:szCs w:val="28"/>
        </w:rPr>
        <w:lastRenderedPageBreak/>
        <w:t>предпринимательства и организаций инфраструктуры поддержки субъектов малого и среднего предпринимательства;</w:t>
      </w:r>
    </w:p>
    <w:p w:rsidR="00127599" w:rsidRDefault="0012759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финансовой поддержки субъектов малого и среднего предпринимательства;</w:t>
      </w:r>
    </w:p>
    <w:p w:rsidR="00127599" w:rsidRDefault="0012759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продвижении продукции субъектов малого и среднего предпринимательства;</w:t>
      </w:r>
    </w:p>
    <w:p w:rsidR="00127599" w:rsidRDefault="0012759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и повышение престижа субъектов малого и среднего предпринимательства;</w:t>
      </w:r>
    </w:p>
    <w:p w:rsidR="00F15326" w:rsidRDefault="0012759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 социальных предприятий.</w:t>
      </w:r>
      <w:r w:rsidR="00BA4739">
        <w:rPr>
          <w:rFonts w:ascii="Times New Roman" w:hAnsi="Times New Roman"/>
          <w:sz w:val="28"/>
          <w:szCs w:val="28"/>
        </w:rPr>
        <w:t xml:space="preserve">  </w:t>
      </w:r>
    </w:p>
    <w:p w:rsidR="00F15326" w:rsidRDefault="00F15326" w:rsidP="00A80A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и эффективности реализации программы</w:t>
      </w: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Конкретные результаты, достигнутые за отчётный период</w:t>
      </w:r>
    </w:p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Результаты, достигнутые в ходе реализации программы</w:t>
            </w: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27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территории муниципального района Кинельский Самарской области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7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</w:t>
            </w:r>
            <w:r w:rsidR="00F15326">
              <w:rPr>
                <w:rFonts w:ascii="Times New Roman" w:hAnsi="Times New Roman"/>
                <w:sz w:val="24"/>
                <w:szCs w:val="24"/>
              </w:rPr>
              <w:t xml:space="preserve"> года продолжалось осуществление мероприятий, направленных на достижение ожидаемых результатов реализации муниципальной программы, результаты реализации мероприятий Программы отражены в разделе 3.3. «Перечень мероприятий, выполненных и невыполненных в установленные сроки»</w:t>
            </w:r>
          </w:p>
          <w:p w:rsidR="00F15326" w:rsidRDefault="00F153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27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субъектов малого и с</w:t>
            </w:r>
            <w:r w:rsidR="001E43AE">
              <w:rPr>
                <w:rFonts w:ascii="Times New Roman" w:hAnsi="Times New Roman"/>
                <w:sz w:val="24"/>
                <w:szCs w:val="24"/>
              </w:rPr>
              <w:t>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на территории муниципального района Кинельский Самарской области эффективно действующей инфраструктуры поддержки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субъектов малого и среднего предпринимательства муниципального района Кинельский Самарской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AE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AE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правовой и экономической грамотности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Продвижение предпринимателей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межрегиональный уровень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AE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субъектов малого и среднего предпринимательства к реализации инновационных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326" w:rsidRPr="00A80A78" w:rsidRDefault="00F15326" w:rsidP="00A80A78">
      <w:pPr>
        <w:numPr>
          <w:ilvl w:val="1"/>
          <w:numId w:val="2"/>
        </w:numPr>
        <w:spacing w:before="120" w:after="12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80A78">
        <w:rPr>
          <w:rFonts w:ascii="Times New Roman" w:hAnsi="Times New Roman"/>
          <w:sz w:val="28"/>
          <w:szCs w:val="28"/>
        </w:rPr>
        <w:t>Результаты достижения значений показателей (индикаторов) Программы за отчётный период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547"/>
        <w:gridCol w:w="567"/>
        <w:gridCol w:w="711"/>
        <w:gridCol w:w="851"/>
        <w:gridCol w:w="1416"/>
        <w:gridCol w:w="2411"/>
      </w:tblGrid>
      <w:tr w:rsidR="00F15326" w:rsidTr="00707B4A">
        <w:trPr>
          <w:cantSplit/>
          <w:trHeight w:val="113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326" w:rsidRDefault="00F153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показателей (индикаторов) муниципальной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достижения значений показателей (индикаторов) муниципальной</w:t>
            </w:r>
          </w:p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индикаторов)  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их плановых значений</w:t>
            </w:r>
          </w:p>
        </w:tc>
      </w:tr>
      <w:tr w:rsidR="00F15326" w:rsidTr="00707B4A">
        <w:trPr>
          <w:cantSplit/>
          <w:trHeight w:val="113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достигнутые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48E" w:rsidTr="00707B4A">
        <w:trPr>
          <w:trHeight w:val="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занятых в сфере МСП на 202</w:t>
            </w:r>
            <w:r w:rsidR="00E81A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>4</w:t>
            </w:r>
            <w:r w:rsidR="005849FA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F70765">
            <w:pPr>
              <w:spacing w:after="0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81A75">
            <w:pPr>
              <w:spacing w:after="0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E6448E">
            <w:pPr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E6448E" w:rsidTr="00707B4A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самозанятых граждан на 202</w:t>
            </w:r>
            <w:r w:rsidR="00E81A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F70765" w:rsidP="00DE2201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F70765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F70765">
              <w:rPr>
                <w:rFonts w:ascii="Times New Roman" w:hAnsi="Times New Roman"/>
                <w:sz w:val="24"/>
                <w:szCs w:val="24"/>
              </w:rPr>
              <w:t>3</w:t>
            </w:r>
            <w:r w:rsidR="00E81A7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6448E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E6448E">
            <w:pPr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E6448E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легализованных в сфере МСП 202</w:t>
            </w:r>
            <w:r w:rsidR="00E81A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F70765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E81A7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E6448E">
            <w:pPr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СМСП, отвечающих критериям отнесения к социальному предпринимательству, направленных в МЭР СО</w:t>
            </w:r>
            <w:r w:rsidR="00707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(ИКАСО)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 w:rsidP="00DE2201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</w:t>
            </w:r>
            <w:r w:rsidR="00F15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 w:rsidP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публикаций в муниципальных СМИ, официальных сайтах, наружная реклама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70765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70765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E6448E" w:rsidP="00F70765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F7076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направленных в АО «ГФСО» данных о СМСП и самозанятых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E81A75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направленных в РЭЦ данных о - СМСП потенциальных экспортерах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F15326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1A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СМСП и физических лиц, получивших информационно - консультационную услугу при поддержке ИКАСО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</w:t>
            </w:r>
            <w:r w:rsidR="00F15326"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E81A75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326" w:rsidRDefault="00F1532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326" w:rsidTr="00707B4A">
        <w:trPr>
          <w:trHeight w:val="20"/>
        </w:trPr>
        <w:tc>
          <w:tcPr>
            <w:tcW w:w="99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*Оценка степени достижения значений показателей (индикаторов) муниципальной программы рассчитывается: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а) если об улучшении ситуации в оцениваемой сфере свидетельствует увеличение значения показателя (индикатора):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путем деления фактически достигнутого значения показателя (индикатора) на плановое значение показателя (индикатора);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б) если об улучшении ситуации в оцениваемой сфере свидетельствует снижение значения показателя (индикатора):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путем деления планового значения показателя (индикатора) на фактически достигнутое значение (показателя) индикатора.</w:t>
            </w:r>
          </w:p>
          <w:p w:rsidR="00F15326" w:rsidRDefault="00F15326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      </w:r>
          </w:p>
          <w:p w:rsidR="00F15326" w:rsidRDefault="00F15326">
            <w:pPr>
              <w:spacing w:after="0" w:line="240" w:lineRule="auto"/>
              <w:ind w:left="-107"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** Рассчитывается по данным, указанным в графе «Степень достижения показателей (индикаторов) муниципальной программы».</w:t>
            </w:r>
          </w:p>
        </w:tc>
      </w:tr>
    </w:tbl>
    <w:p w:rsidR="00A80A78" w:rsidRDefault="00A80A78" w:rsidP="00F153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Default="00A80A78" w:rsidP="00A80A78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F15326" w:rsidRPr="00A80A78" w:rsidRDefault="00F15326" w:rsidP="00A80A78">
      <w:pPr>
        <w:rPr>
          <w:rFonts w:ascii="Times New Roman" w:hAnsi="Times New Roman"/>
          <w:sz w:val="28"/>
          <w:szCs w:val="28"/>
        </w:rPr>
        <w:sectPr w:rsidR="00F15326" w:rsidRPr="00A80A78">
          <w:pgSz w:w="11906" w:h="16838"/>
          <w:pgMar w:top="993" w:right="1418" w:bottom="1560" w:left="1418" w:header="709" w:footer="709" w:gutter="0"/>
          <w:cols w:space="720"/>
        </w:sectPr>
      </w:pPr>
    </w:p>
    <w:p w:rsidR="00F15326" w:rsidRDefault="00F15326" w:rsidP="00A80A78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Перечень мероприятий, выполненных и невыполненных </w:t>
      </w:r>
    </w:p>
    <w:p w:rsidR="00F15326" w:rsidRDefault="00F15326" w:rsidP="00F15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установленные сроки</w:t>
      </w:r>
    </w:p>
    <w:p w:rsidR="00F15326" w:rsidRDefault="00F15326" w:rsidP="00F15326">
      <w:pPr>
        <w:spacing w:after="0" w:line="240" w:lineRule="auto"/>
        <w:contextualSpacing/>
        <w:rPr>
          <w:sz w:val="28"/>
          <w:szCs w:val="28"/>
        </w:rPr>
      </w:pPr>
    </w:p>
    <w:p w:rsidR="00E6448E" w:rsidRPr="00E6448E" w:rsidRDefault="00E6448E" w:rsidP="00E6448E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E6448E">
        <w:rPr>
          <w:rFonts w:ascii="Times New Roman" w:hAnsi="Times New Roman"/>
          <w:sz w:val="28"/>
          <w:szCs w:val="28"/>
        </w:rPr>
        <w:t>По состоянию на 01.01.202</w:t>
      </w:r>
      <w:r w:rsidR="00F70765">
        <w:rPr>
          <w:rFonts w:ascii="Times New Roman" w:hAnsi="Times New Roman"/>
          <w:sz w:val="28"/>
          <w:szCs w:val="28"/>
        </w:rPr>
        <w:t>3</w:t>
      </w:r>
      <w:r w:rsidRPr="00E6448E">
        <w:rPr>
          <w:rFonts w:ascii="Times New Roman" w:hAnsi="Times New Roman"/>
          <w:sz w:val="28"/>
          <w:szCs w:val="28"/>
        </w:rPr>
        <w:t xml:space="preserve"> года на налоговом учете состоит субъектов предпринимательства</w:t>
      </w:r>
      <w:r w:rsidR="00E81A75">
        <w:rPr>
          <w:rFonts w:ascii="Times New Roman" w:hAnsi="Times New Roman"/>
          <w:sz w:val="28"/>
          <w:szCs w:val="28"/>
        </w:rPr>
        <w:t xml:space="preserve"> </w:t>
      </w:r>
      <w:r w:rsidR="005849FA">
        <w:rPr>
          <w:rFonts w:ascii="Times New Roman" w:hAnsi="Times New Roman"/>
          <w:sz w:val="28"/>
          <w:szCs w:val="28"/>
        </w:rPr>
        <w:t>776</w:t>
      </w:r>
      <w:r w:rsidRPr="00E6448E">
        <w:rPr>
          <w:rFonts w:ascii="Times New Roman" w:hAnsi="Times New Roman"/>
          <w:sz w:val="28"/>
          <w:szCs w:val="28"/>
        </w:rPr>
        <w:t xml:space="preserve"> единиц.</w:t>
      </w:r>
    </w:p>
    <w:p w:rsidR="00E6448E" w:rsidRPr="00E6448E" w:rsidRDefault="00E6448E" w:rsidP="00E6448E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E6448E">
        <w:rPr>
          <w:rFonts w:ascii="Times New Roman" w:hAnsi="Times New Roman"/>
          <w:sz w:val="28"/>
          <w:szCs w:val="28"/>
        </w:rPr>
        <w:t>Численность населения</w:t>
      </w:r>
      <w:r w:rsidR="00E81A75">
        <w:rPr>
          <w:rFonts w:ascii="Times New Roman" w:hAnsi="Times New Roman"/>
          <w:sz w:val="28"/>
          <w:szCs w:val="28"/>
        </w:rPr>
        <w:t xml:space="preserve"> </w:t>
      </w:r>
      <w:r w:rsidRPr="00E6448E">
        <w:rPr>
          <w:rFonts w:ascii="Times New Roman" w:hAnsi="Times New Roman"/>
          <w:sz w:val="28"/>
          <w:szCs w:val="28"/>
        </w:rPr>
        <w:t xml:space="preserve">муниципального района Кинельский составляет </w:t>
      </w:r>
      <w:r w:rsidR="00F70765">
        <w:rPr>
          <w:rFonts w:ascii="Times New Roman" w:hAnsi="Times New Roman"/>
          <w:sz w:val="28"/>
          <w:szCs w:val="28"/>
        </w:rPr>
        <w:t>3</w:t>
      </w:r>
      <w:r w:rsidR="009A48E6">
        <w:rPr>
          <w:rFonts w:ascii="Times New Roman" w:hAnsi="Times New Roman"/>
          <w:sz w:val="28"/>
          <w:szCs w:val="28"/>
        </w:rPr>
        <w:t>1710</w:t>
      </w:r>
      <w:r w:rsidRPr="00E6448E">
        <w:rPr>
          <w:rFonts w:ascii="Times New Roman" w:hAnsi="Times New Roman"/>
          <w:sz w:val="28"/>
          <w:szCs w:val="28"/>
        </w:rPr>
        <w:t xml:space="preserve"> человек по состоянию на 01.01.202</w:t>
      </w:r>
      <w:r w:rsidR="00F70765">
        <w:rPr>
          <w:rFonts w:ascii="Times New Roman" w:hAnsi="Times New Roman"/>
          <w:sz w:val="28"/>
          <w:szCs w:val="28"/>
        </w:rPr>
        <w:t>3</w:t>
      </w:r>
      <w:r w:rsidRPr="00E6448E">
        <w:rPr>
          <w:rFonts w:ascii="Times New Roman" w:hAnsi="Times New Roman"/>
          <w:sz w:val="28"/>
          <w:szCs w:val="28"/>
        </w:rPr>
        <w:t xml:space="preserve"> года.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Собранием представителей муниципального района Кинельский Самарской области было принято решение о внесении изменений в решение Собрания представителей муниципального района Кинельский от 27 ноября 2007 г. № 244 «О введении в действие системы налогообложения в виде единого налога на вмененный доход для отдельных видов деятельности».  (Приложение № 1).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Инфраструктура поддержки предпринимательства   остается без изменений и представлена НП «Ассоциация предпринимателей муниципального района Кинельский», Фондом - микрокредитная компания муниципального района Кинельский». 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Функции по развитию предпринимательства возложены на отдел по инвестициям, предпринимательству, потребительскому рынку и защите прав потребителей администрации муниципального района Кинельский.  Штатный состав – 1 единица.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Оценка регулирующего воздействия: за отчетный период проведена </w:t>
      </w:r>
      <w:r w:rsidR="00F70765">
        <w:rPr>
          <w:rFonts w:ascii="Times New Roman" w:hAnsi="Times New Roman"/>
          <w:color w:val="000000"/>
          <w:sz w:val="28"/>
          <w:szCs w:val="28"/>
        </w:rPr>
        <w:t>20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процедур ОРВ по проектам НПА. Заключения размещены на сайте администрации </w:t>
      </w:r>
      <w:proofErr w:type="spellStart"/>
      <w:r w:rsidRPr="00E6448E">
        <w:rPr>
          <w:rFonts w:ascii="Times New Roman" w:hAnsi="Times New Roman"/>
          <w:color w:val="000000"/>
          <w:sz w:val="28"/>
          <w:szCs w:val="28"/>
        </w:rPr>
        <w:t>м.р</w:t>
      </w:r>
      <w:proofErr w:type="spellEnd"/>
      <w:r w:rsidRPr="00E6448E">
        <w:rPr>
          <w:rFonts w:ascii="Times New Roman" w:hAnsi="Times New Roman"/>
          <w:color w:val="000000"/>
          <w:sz w:val="28"/>
          <w:szCs w:val="28"/>
        </w:rPr>
        <w:t xml:space="preserve">. Кинельский </w:t>
      </w:r>
      <w:hyperlink r:id="rId6" w:history="1"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kinel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6448E">
        <w:rPr>
          <w:rFonts w:ascii="Times New Roman" w:hAnsi="Times New Roman"/>
          <w:color w:val="000000"/>
          <w:sz w:val="28"/>
          <w:szCs w:val="28"/>
        </w:rPr>
        <w:t xml:space="preserve"> (страница «Документы»:</w:t>
      </w:r>
      <w:r w:rsidRPr="00E6448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http://www.kinel.ru/dokumenty/otsenka-regulirujushhego-vozdejjstvija/</w:t>
        </w:r>
      </w:hyperlink>
      <w:r w:rsidRPr="00E6448E">
        <w:rPr>
          <w:rFonts w:ascii="Times New Roman" w:hAnsi="Times New Roman"/>
          <w:color w:val="000000"/>
          <w:sz w:val="28"/>
          <w:szCs w:val="28"/>
        </w:rPr>
        <w:t xml:space="preserve">  )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За отчетный период организовано семинаров, круглых столов, иных мероприятий: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4631"/>
        <w:gridCol w:w="2032"/>
      </w:tblGrid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Тема семинара, участвующие организации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марта 2022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786F6C">
            <w:pPr>
              <w:keepLines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Встреча предпринимателей с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окурором г. Кинеля 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 марта 2022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786F6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Меры поддержки экспортеров в условиях кризиса "Встреча с представителем экспортно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центра г.  Самара" 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апреля 2022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786F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представителем Регионального центра развития предпринимательства г.  Самара 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мая 2022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Основы предпринимательской деятельнос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ти. Выбор бизнес</w:t>
            </w:r>
            <w:r w:rsidR="004D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идеи 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26 мая 2022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786F6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российского </w:t>
            </w:r>
            <w:proofErr w:type="spellStart"/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предпримательства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июня 2022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Россия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ир. Новые возможности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6448E" w:rsidRPr="00E6448E" w:rsidTr="00A950C8">
        <w:trPr>
          <w:trHeight w:val="2683"/>
        </w:trPr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июня 2022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786F6C">
            <w:pPr>
              <w:spacing w:after="0" w:line="360" w:lineRule="auto"/>
              <w:contextualSpacing/>
              <w:jc w:val="both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</w:pPr>
            <w:r w:rsidRPr="00786F6C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  <w:t>Реализация мер поддержки и стимулирования предпринимательской инициативы на территории региона, в том числе г. Кинель и Кинельского района» 22.06.2022 г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4C2C37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E6448E" w:rsidRPr="00E6448E" w:rsidTr="00A950C8">
        <w:trPr>
          <w:trHeight w:val="2674"/>
        </w:trPr>
        <w:tc>
          <w:tcPr>
            <w:tcW w:w="3226" w:type="dxa"/>
            <w:shd w:val="clear" w:color="auto" w:fill="auto"/>
          </w:tcPr>
          <w:p w:rsidR="00E6448E" w:rsidRPr="00E6448E" w:rsidRDefault="004C2C37" w:rsidP="004C2C3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декабря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4C2C37" w:rsidP="004C2C3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года 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4C2C37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>Итого мероприятий/участников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E6448E" w:rsidRPr="00E6448E" w:rsidRDefault="005849FA" w:rsidP="00E644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</w:t>
            </w:r>
            <w:r w:rsidR="004C2C37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4C2C37">
              <w:rPr>
                <w:rFonts w:ascii="Times New Roman" w:hAnsi="Times New Roman"/>
                <w:sz w:val="24"/>
                <w:szCs w:val="24"/>
              </w:rPr>
              <w:t>2</w:t>
            </w:r>
            <w:r w:rsidRPr="00E644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>Фондом - микрокредитная компания муниципального района Кинельский оказано консультаций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5849FA" w:rsidP="00E644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E6448E" w:rsidRPr="00E6448E" w:rsidRDefault="00E6448E" w:rsidP="00E6448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48E" w:rsidRPr="00E6448E" w:rsidRDefault="00E6448E" w:rsidP="00E6448E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В рамках реализации законодательства РФ о развитии предпринимательства постановлением администрации муниципального района Кинельский от </w:t>
      </w:r>
      <w:r w:rsidR="007C0D21">
        <w:rPr>
          <w:rFonts w:ascii="Times New Roman" w:hAnsi="Times New Roman"/>
          <w:color w:val="000000"/>
          <w:sz w:val="28"/>
          <w:szCs w:val="28"/>
        </w:rPr>
        <w:t>22.12.21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7C0D21">
        <w:rPr>
          <w:rFonts w:ascii="Times New Roman" w:hAnsi="Times New Roman"/>
          <w:color w:val="000000"/>
          <w:sz w:val="28"/>
          <w:szCs w:val="28"/>
        </w:rPr>
        <w:t>2036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утверждена муниципальная программа</w:t>
      </w:r>
      <w:r w:rsidR="007C0D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D21" w:rsidRPr="007C0D21">
        <w:rPr>
          <w:rFonts w:ascii="Times New Roman" w:hAnsi="Times New Roman"/>
          <w:color w:val="000000"/>
          <w:sz w:val="28"/>
          <w:szCs w:val="28"/>
        </w:rPr>
        <w:t xml:space="preserve">«Развитие и поддержка малого и среднего предпринимательства в муниципальном </w:t>
      </w:r>
      <w:r w:rsidR="007C0D21" w:rsidRPr="007C0D21">
        <w:rPr>
          <w:rFonts w:ascii="Times New Roman" w:hAnsi="Times New Roman"/>
          <w:color w:val="000000"/>
          <w:sz w:val="28"/>
          <w:szCs w:val="28"/>
        </w:rPr>
        <w:lastRenderedPageBreak/>
        <w:t>районе Кинельский на 2022-2026 гг.».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(далее - программа МСБ). </w:t>
      </w:r>
      <w:r w:rsidRPr="00E6448E">
        <w:rPr>
          <w:rFonts w:ascii="Times New Roman" w:hAnsi="Times New Roman"/>
          <w:sz w:val="28"/>
          <w:szCs w:val="28"/>
        </w:rPr>
        <w:t>Объем финансирования муниципальной программы в 202</w:t>
      </w:r>
      <w:r w:rsidR="007C0D21">
        <w:rPr>
          <w:rFonts w:ascii="Times New Roman" w:hAnsi="Times New Roman"/>
          <w:sz w:val="28"/>
          <w:szCs w:val="28"/>
        </w:rPr>
        <w:t>2</w:t>
      </w:r>
      <w:r w:rsidRPr="00E6448E">
        <w:rPr>
          <w:rFonts w:ascii="Times New Roman" w:hAnsi="Times New Roman"/>
          <w:sz w:val="28"/>
          <w:szCs w:val="28"/>
        </w:rPr>
        <w:t xml:space="preserve"> году составил 4433,1 тыс. руб. 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Средства были направлены на расширение спектра кредитных и консультационных услуг </w:t>
      </w:r>
      <w:proofErr w:type="spellStart"/>
      <w:r w:rsidRPr="00E6448E">
        <w:rPr>
          <w:rFonts w:ascii="Times New Roman" w:eastAsia="Calibri" w:hAnsi="Times New Roman"/>
          <w:sz w:val="28"/>
          <w:szCs w:val="28"/>
          <w:lang w:eastAsia="en-US"/>
        </w:rPr>
        <w:t>микрокредитной</w:t>
      </w:r>
      <w:proofErr w:type="spellEnd"/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компания МР Кинельский.  В течение 202</w:t>
      </w:r>
      <w:r w:rsidR="007C0D2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года по данному программному  мероприятию оказано услуг по составлению заявления о регистрации ИП и КФХ  - </w:t>
      </w:r>
      <w:r w:rsidR="00A00998" w:rsidRPr="0003787E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>, всего оказано консультац</w:t>
      </w:r>
      <w:r w:rsidR="00A00998">
        <w:rPr>
          <w:rFonts w:ascii="Times New Roman" w:eastAsia="Calibri" w:hAnsi="Times New Roman"/>
          <w:sz w:val="28"/>
          <w:szCs w:val="28"/>
          <w:lang w:eastAsia="en-US"/>
        </w:rPr>
        <w:t xml:space="preserve">ионных услуг субъектам МСП – </w:t>
      </w:r>
      <w:r w:rsidR="002E6B58">
        <w:rPr>
          <w:rFonts w:ascii="Times New Roman" w:eastAsia="Calibri" w:hAnsi="Times New Roman"/>
          <w:sz w:val="28"/>
          <w:szCs w:val="28"/>
          <w:lang w:eastAsia="en-US"/>
        </w:rPr>
        <w:t>61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>. За 202</w:t>
      </w:r>
      <w:r w:rsidR="00183BC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год из средств Фонда – микрокредитная компания МР Кинельский субъектам малого бизнеса выдано </w:t>
      </w:r>
      <w:r w:rsidR="005849FA"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займов на общую сумму </w:t>
      </w:r>
      <w:r w:rsidR="005849FA">
        <w:rPr>
          <w:rFonts w:ascii="Times New Roman" w:eastAsia="Calibri" w:hAnsi="Times New Roman"/>
          <w:sz w:val="28"/>
          <w:szCs w:val="28"/>
          <w:lang w:eastAsia="en-US"/>
        </w:rPr>
        <w:t>15,250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млн. руб. </w:t>
      </w:r>
    </w:p>
    <w:p w:rsidR="00F15326" w:rsidRDefault="00E6448E" w:rsidP="00A950C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На сайте администрации муниципального района Кинельский регулярно размещается актуальная информация для субъектов предприниматель</w:t>
      </w:r>
      <w:r>
        <w:rPr>
          <w:rFonts w:ascii="Times New Roman" w:hAnsi="Times New Roman"/>
          <w:color w:val="000000"/>
          <w:sz w:val="28"/>
          <w:szCs w:val="28"/>
        </w:rPr>
        <w:t>ства:</w:t>
      </w:r>
      <w:hyperlink r:id="rId8" w:history="1"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http://www.kinel.ru/aktualnaja-informatsija-dlja-subektov-predprinimatelstva/</w:t>
        </w:r>
      </w:hyperlink>
      <w:r w:rsidR="00F15326">
        <w:rPr>
          <w:rFonts w:ascii="Times New Roman" w:hAnsi="Times New Roman"/>
          <w:color w:val="000000"/>
          <w:sz w:val="28"/>
          <w:szCs w:val="28"/>
        </w:rPr>
        <w:t>.</w:t>
      </w:r>
    </w:p>
    <w:p w:rsidR="00F15326" w:rsidRDefault="00F15326" w:rsidP="00A950C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Запланированные на отчетный год м</w:t>
      </w:r>
      <w:r>
        <w:rPr>
          <w:rFonts w:ascii="Times New Roman" w:hAnsi="Times New Roman"/>
          <w:color w:val="000000"/>
          <w:sz w:val="28"/>
          <w:szCs w:val="20"/>
        </w:rPr>
        <w:t xml:space="preserve">ероприятия </w:t>
      </w:r>
      <w:r>
        <w:rPr>
          <w:rFonts w:ascii="Times New Roman" w:hAnsi="Times New Roman"/>
          <w:sz w:val="28"/>
          <w:szCs w:val="28"/>
        </w:rPr>
        <w:t>муниципальной программы выполнены в полном объеме.</w:t>
      </w:r>
    </w:p>
    <w:p w:rsidR="00F15326" w:rsidRDefault="00F15326" w:rsidP="00F15326">
      <w:pPr>
        <w:spacing w:after="0" w:line="240" w:lineRule="auto"/>
        <w:contextualSpacing/>
        <w:rPr>
          <w:sz w:val="28"/>
          <w:szCs w:val="28"/>
        </w:rPr>
      </w:pPr>
    </w:p>
    <w:p w:rsidR="00F15326" w:rsidRDefault="00F15326" w:rsidP="00F15326">
      <w:pPr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факторов, повлиявших на ход реализации муниципальной программы</w:t>
      </w:r>
    </w:p>
    <w:p w:rsidR="00F15326" w:rsidRDefault="00F15326" w:rsidP="00F15326">
      <w:pPr>
        <w:ind w:left="1065"/>
        <w:contextualSpacing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реализацию мероприятий Программы в 20</w:t>
      </w:r>
      <w:r w:rsidR="00E6448E">
        <w:rPr>
          <w:rFonts w:ascii="Times New Roman" w:hAnsi="Times New Roman" w:cs="Times New Roman"/>
          <w:sz w:val="28"/>
          <w:szCs w:val="28"/>
        </w:rPr>
        <w:t>2</w:t>
      </w:r>
      <w:r w:rsidR="007C0D2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году было предусмотрено выделение бюджетных ассигнований в размере 4</w:t>
      </w:r>
      <w:r w:rsidR="00E6448E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3,</w:t>
      </w:r>
      <w:r w:rsidR="00E644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6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E6448E">
        <w:rPr>
          <w:rFonts w:ascii="Times New Roman" w:hAnsi="Times New Roman" w:cs="Times New Roman"/>
          <w:sz w:val="28"/>
          <w:szCs w:val="28"/>
        </w:rPr>
        <w:t>2</w:t>
      </w:r>
      <w:r w:rsidR="007C0D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по данной Программе осуществлялись на финансирование уставной деятельности Фонда</w:t>
      </w:r>
      <w:r w:rsidR="00E6448E">
        <w:rPr>
          <w:rFonts w:ascii="Times New Roman" w:hAnsi="Times New Roman" w:cs="Times New Roman"/>
          <w:sz w:val="28"/>
          <w:szCs w:val="28"/>
        </w:rPr>
        <w:t xml:space="preserve"> – микрокредитная компания муниципального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 виде предоставления субсидии на развитие микрофинансирования и осуществление финансовой поддержки субъектов малого и среднего предпринимательства в целях дальнейшего предоставления займов субъектам малого и среднего предпринимательства. Другие мероприятия, предусмотренные Программой, направленные на развитие и поддержку малого и среднего предпринимательства были осуществлены в рам</w:t>
      </w:r>
      <w:r>
        <w:rPr>
          <w:rFonts w:ascii="Times New Roman" w:hAnsi="Times New Roman" w:cs="Times New Roman"/>
          <w:sz w:val="28"/>
          <w:szCs w:val="28"/>
        </w:rPr>
        <w:lastRenderedPageBreak/>
        <w:t>ках текущей деятельности в пределах средств, предусмотренных Программой.</w:t>
      </w:r>
    </w:p>
    <w:p w:rsidR="007D5DBA" w:rsidRDefault="00F15326" w:rsidP="00A950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Запланированные на отчетный год м</w:t>
      </w:r>
      <w:r>
        <w:rPr>
          <w:rFonts w:ascii="Times New Roman" w:hAnsi="Times New Roman"/>
          <w:color w:val="000000"/>
          <w:sz w:val="28"/>
          <w:szCs w:val="20"/>
        </w:rPr>
        <w:t xml:space="preserve">ероприятия </w:t>
      </w:r>
      <w:r>
        <w:rPr>
          <w:rFonts w:ascii="Times New Roman" w:hAnsi="Times New Roman"/>
          <w:sz w:val="28"/>
          <w:szCs w:val="28"/>
        </w:rPr>
        <w:t>муниципальной программы выполнены в полном объеме.</w:t>
      </w:r>
    </w:p>
    <w:p w:rsidR="007D5DBA" w:rsidRDefault="007D5DBA" w:rsidP="007D5DB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01.01.2023 г. денежные средства освоены в полном объеме.  </w:t>
      </w:r>
    </w:p>
    <w:p w:rsidR="00F15326" w:rsidRDefault="00F15326" w:rsidP="00F153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A80A78" w:rsidRDefault="00A80A78" w:rsidP="00A80A7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4602"/>
        <w:gridCol w:w="2098"/>
        <w:gridCol w:w="1876"/>
      </w:tblGrid>
      <w:tr w:rsidR="00F15326" w:rsidTr="00F1532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№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Наименование</w:t>
            </w:r>
          </w:p>
          <w:p w:rsidR="00F15326" w:rsidRDefault="00F15326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  <w:b w:val="0"/>
              </w:rPr>
              <w:t>мероприятия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Общий объем финансирования </w:t>
            </w:r>
          </w:p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на 20</w:t>
            </w:r>
            <w:r w:rsidR="008967BA">
              <w:rPr>
                <w:rStyle w:val="a6"/>
                <w:b w:val="0"/>
              </w:rPr>
              <w:t>2</w:t>
            </w:r>
            <w:r w:rsidR="007D5DBA">
              <w:rPr>
                <w:rStyle w:val="a6"/>
                <w:b w:val="0"/>
              </w:rPr>
              <w:t>2</w:t>
            </w:r>
            <w:r>
              <w:rPr>
                <w:rStyle w:val="a6"/>
                <w:b w:val="0"/>
              </w:rPr>
              <w:t xml:space="preserve"> год </w:t>
            </w:r>
          </w:p>
          <w:p w:rsidR="00F15326" w:rsidRDefault="00F15326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  <w:b w:val="0"/>
              </w:rPr>
              <w:t>(тыс.</w:t>
            </w:r>
            <w:r w:rsidR="00E76112">
              <w:rPr>
                <w:rStyle w:val="a6"/>
                <w:b w:val="0"/>
              </w:rPr>
              <w:t xml:space="preserve"> </w:t>
            </w:r>
            <w:r>
              <w:rPr>
                <w:rStyle w:val="a6"/>
                <w:b w:val="0"/>
              </w:rPr>
              <w:t>руб.)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 w:rsidP="008967BA">
            <w:pPr>
              <w:pStyle w:val="a4"/>
              <w:spacing w:before="0" w:beforeAutospacing="0" w:after="0" w:afterAutospacing="0"/>
              <w:jc w:val="center"/>
            </w:pPr>
            <w:r>
              <w:t>Отчет о ходе реализации Программы за 20</w:t>
            </w:r>
            <w:r w:rsidR="008967BA">
              <w:t>2</w:t>
            </w:r>
            <w:r w:rsidR="007D5DBA">
              <w:t>2</w:t>
            </w:r>
            <w:r>
              <w:t>год (тыс.</w:t>
            </w:r>
            <w:r w:rsidR="00E76112">
              <w:t xml:space="preserve"> </w:t>
            </w:r>
            <w:r>
              <w:t>руб.)</w:t>
            </w:r>
          </w:p>
        </w:tc>
      </w:tr>
      <w:tr w:rsidR="00F15326" w:rsidTr="00F1532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</w:pPr>
            <w: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</w:pPr>
            <w: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</w:pPr>
            <w:r>
              <w:t>4</w:t>
            </w:r>
          </w:p>
        </w:tc>
      </w:tr>
      <w:tr w:rsidR="00F15326" w:rsidTr="00F1532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E76112" w:rsidRDefault="00F15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112">
              <w:rPr>
                <w:rFonts w:ascii="Times New Roman" w:hAnsi="Times New Roman"/>
                <w:sz w:val="24"/>
                <w:szCs w:val="24"/>
              </w:rPr>
              <w:t xml:space="preserve">Финансирование уставной деятельности </w:t>
            </w:r>
            <w:r w:rsidR="00E76112" w:rsidRPr="00E76112">
              <w:rPr>
                <w:rFonts w:ascii="Times New Roman" w:hAnsi="Times New Roman"/>
                <w:sz w:val="24"/>
                <w:szCs w:val="24"/>
              </w:rPr>
              <w:t xml:space="preserve">Фонда – микрокредитная компания муниципального района Кинельский </w:t>
            </w:r>
            <w:r w:rsidRPr="00E76112">
              <w:rPr>
                <w:rFonts w:ascii="Times New Roman" w:hAnsi="Times New Roman"/>
                <w:sz w:val="24"/>
                <w:szCs w:val="24"/>
              </w:rPr>
              <w:t xml:space="preserve">в виде предоставления субсидии на развитие микрофинансирования и осуществление финансовой поддержки субъектов малого и среднего предпринимательства в целях дальнейшего предоставления займов субъектам малого и среднего предпринимательства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spacing w:before="0" w:beforeAutospacing="0" w:after="0" w:afterAutospacing="0"/>
              <w:jc w:val="center"/>
            </w:pPr>
            <w:r>
              <w:t>4433,1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spacing w:before="0" w:beforeAutospacing="0" w:after="0" w:afterAutospacing="0"/>
              <w:jc w:val="center"/>
            </w:pPr>
            <w:r>
              <w:t>4433,1</w:t>
            </w:r>
          </w:p>
        </w:tc>
      </w:tr>
      <w:tr w:rsidR="00F15326" w:rsidTr="00F15326"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</w:pPr>
            <w:r>
              <w:t>ИТОГО: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jc w:val="center"/>
            </w:pPr>
            <w:r>
              <w:t>4433,1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jc w:val="center"/>
            </w:pPr>
            <w:r>
              <w:t>4433,1</w:t>
            </w:r>
          </w:p>
        </w:tc>
      </w:tr>
    </w:tbl>
    <w:p w:rsidR="00F15326" w:rsidRDefault="00F15326" w:rsidP="00F15326">
      <w:pPr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F15326" w:rsidRDefault="00F15326" w:rsidP="00A950C8">
      <w:pPr>
        <w:spacing w:line="360" w:lineRule="auto"/>
        <w:ind w:left="1065"/>
        <w:contextualSpacing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задание не используется.</w:t>
      </w:r>
    </w:p>
    <w:p w:rsidR="00F15326" w:rsidRDefault="00F15326" w:rsidP="00A950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F15326" w:rsidRDefault="00F15326" w:rsidP="00F15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4252"/>
        <w:gridCol w:w="1948"/>
      </w:tblGrid>
      <w:tr w:rsidR="00F15326" w:rsidTr="00F15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описание, внесённого изменения в программу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НПА</w:t>
            </w:r>
          </w:p>
        </w:tc>
      </w:tr>
      <w:tr w:rsidR="00F15326" w:rsidTr="00E76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12" w:rsidRPr="005849FA" w:rsidRDefault="00F15326" w:rsidP="00E7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Приложение </w:t>
            </w:r>
            <w:r w:rsidR="008967BA" w:rsidRPr="005849FA">
              <w:rPr>
                <w:rFonts w:ascii="Times New Roman" w:hAnsi="Times New Roman"/>
                <w:sz w:val="24"/>
                <w:szCs w:val="24"/>
              </w:rPr>
              <w:t xml:space="preserve">№ 1 Программы «Перечень показателей (индикаторов), характеризующих ежегодный ход и итоги реализации муниципальной программы», 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Приложение № 2 Программы «Перечень мероприятий муниципальной программы». </w:t>
            </w:r>
          </w:p>
          <w:p w:rsidR="008967BA" w:rsidRPr="005849FA" w:rsidRDefault="008967BA" w:rsidP="00E7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326" w:rsidRPr="005849FA" w:rsidRDefault="00F15326" w:rsidP="00E7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F15326" w:rsidP="00E7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     - Постановление администрации муниципального района Кинельский от 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>28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>.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>04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>.20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>21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>713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муниципальную программу «Развитие и поддержка малого и среднего предпринимательства в муниципальном районе Кинельский на 2015-202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>3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гг.»»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E7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>Утратило силу</w:t>
            </w:r>
          </w:p>
        </w:tc>
      </w:tr>
    </w:tbl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F15326" w:rsidRDefault="00F15326" w:rsidP="00A950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</w:t>
      </w:r>
      <w:r w:rsidR="00E76112">
        <w:rPr>
          <w:rFonts w:ascii="Times New Roman" w:hAnsi="Times New Roman"/>
          <w:sz w:val="28"/>
          <w:szCs w:val="28"/>
        </w:rPr>
        <w:t>2</w:t>
      </w:r>
      <w:r w:rsidR="007C0D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мероприятия муниципальной программы, влияющие непосредственно на достижение результатов программы, исполнены в полном объёме.</w:t>
      </w:r>
    </w:p>
    <w:p w:rsidR="00F15326" w:rsidRDefault="00F15326" w:rsidP="00A95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4B88" w:rsidRPr="004559E0" w:rsidRDefault="00EF4B88" w:rsidP="00A950C8">
      <w:pPr>
        <w:pStyle w:val="a9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559E0">
        <w:rPr>
          <w:rFonts w:ascii="Times New Roman" w:hAnsi="Times New Roman"/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EF4B88" w:rsidRPr="00EF4B88" w:rsidRDefault="00EF4B88" w:rsidP="00A950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</w:t>
      </w:r>
      <w:r w:rsidRPr="00EF4B88">
        <w:rPr>
          <w:rFonts w:ascii="Times New Roman" w:eastAsia="Calibri" w:hAnsi="Times New Roman"/>
          <w:sz w:val="28"/>
          <w:szCs w:val="28"/>
        </w:rPr>
        <w:lastRenderedPageBreak/>
        <w:t>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EF4B88" w:rsidRPr="00EF4B88" w:rsidRDefault="00EF4B88" w:rsidP="00A95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муниципальной программы (подпрограммы) </w:t>
      </w:r>
      <w:proofErr w:type="gramStart"/>
      <w:r w:rsidRPr="00EF4B88">
        <w:rPr>
          <w:rFonts w:ascii="Times New Roman" w:hAnsi="Times New Roman"/>
          <w:sz w:val="28"/>
          <w:szCs w:val="28"/>
        </w:rPr>
        <w:t>представляет  алгоритм</w:t>
      </w:r>
      <w:proofErr w:type="gramEnd"/>
      <w:r w:rsidRPr="00EF4B88">
        <w:rPr>
          <w:rFonts w:ascii="Times New Roman" w:hAnsi="Times New Roman"/>
          <w:sz w:val="28"/>
          <w:szCs w:val="28"/>
        </w:rPr>
        <w:t xml:space="preserve">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Кi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с учетом весовых коэффициентов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В</w:t>
      </w:r>
      <w:r w:rsidRPr="00EF4B88">
        <w:rPr>
          <w:rFonts w:ascii="Times New Roman" w:eastAsia="Calibri" w:hAnsi="Times New Roman"/>
          <w:sz w:val="18"/>
          <w:szCs w:val="18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по следующей формуле: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= К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x В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+ 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x В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+ К</w:t>
      </w:r>
      <w:r w:rsidRPr="00EF4B88">
        <w:rPr>
          <w:rFonts w:ascii="Times New Roman" w:eastAsia="Calibri" w:hAnsi="Times New Roman"/>
          <w:sz w:val="18"/>
          <w:szCs w:val="18"/>
        </w:rPr>
        <w:t xml:space="preserve">3 </w:t>
      </w:r>
      <w:r w:rsidRPr="00EF4B88">
        <w:rPr>
          <w:rFonts w:ascii="Times New Roman" w:eastAsia="Calibri" w:hAnsi="Times New Roman"/>
          <w:sz w:val="28"/>
          <w:szCs w:val="28"/>
        </w:rPr>
        <w:t>x В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>,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весовые коэффициенты: В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0,5; В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0,2; В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0,3.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b/>
          <w:sz w:val="28"/>
          <w:szCs w:val="28"/>
        </w:rPr>
        <w:t>Э</w:t>
      </w:r>
      <w:r w:rsidRPr="00EF4B88">
        <w:rPr>
          <w:rFonts w:ascii="Times New Roman" w:eastAsia="Calibri" w:hAnsi="Times New Roman"/>
          <w:b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b/>
          <w:sz w:val="28"/>
          <w:szCs w:val="28"/>
        </w:rPr>
        <w:t xml:space="preserve"> = 1</w:t>
      </w:r>
      <w:r w:rsidR="00E81A75">
        <w:rPr>
          <w:rFonts w:ascii="Times New Roman" w:eastAsia="Calibri" w:hAnsi="Times New Roman"/>
          <w:b/>
          <w:sz w:val="28"/>
          <w:szCs w:val="28"/>
        </w:rPr>
        <w:t>55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х 0,5 + </w:t>
      </w:r>
      <w:r w:rsidR="00621D9A">
        <w:rPr>
          <w:rFonts w:ascii="Times New Roman" w:eastAsia="Calibri" w:hAnsi="Times New Roman"/>
          <w:b/>
          <w:sz w:val="28"/>
          <w:szCs w:val="28"/>
        </w:rPr>
        <w:t>100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х 0,2 + 100 х 0,3 = </w:t>
      </w:r>
      <w:r w:rsidR="008C021E">
        <w:rPr>
          <w:rFonts w:ascii="Times New Roman" w:eastAsia="Calibri" w:hAnsi="Times New Roman"/>
          <w:b/>
          <w:sz w:val="28"/>
          <w:szCs w:val="28"/>
        </w:rPr>
        <w:t>127,5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 xml:space="preserve">Оценка уровня достижения показателей (индикаторов) 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муниципальной программы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lastRenderedPageBreak/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соответствующих показателей (индикаторов).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EF4B88">
        <w:rPr>
          <w:rFonts w:ascii="Times New Roman" w:eastAsia="Calibri" w:hAnsi="Times New Roman"/>
          <w:sz w:val="28"/>
          <w:szCs w:val="28"/>
        </w:rPr>
        <w:t>следующей  формуле</w:t>
      </w:r>
      <w:proofErr w:type="gramEnd"/>
      <w:r w:rsidRPr="00EF4B88">
        <w:rPr>
          <w:rFonts w:ascii="Times New Roman" w:eastAsia="Calibri" w:hAnsi="Times New Roman"/>
          <w:sz w:val="28"/>
          <w:szCs w:val="28"/>
        </w:rPr>
        <w:t>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position w:val="-35"/>
          <w:sz w:val="28"/>
          <w:szCs w:val="28"/>
        </w:rPr>
        <w:drawing>
          <wp:inline distT="0" distB="0" distL="0" distR="0" wp14:anchorId="1133EA3A" wp14:editId="0FAD76E2">
            <wp:extent cx="2047875" cy="590550"/>
            <wp:effectExtent l="0" t="0" r="9525" b="0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A2C90" w:rsidRPr="00FA2C90" w:rsidRDefault="00FA2C90" w:rsidP="00FA2C9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A2C90">
        <w:rPr>
          <w:rFonts w:ascii="Times New Roman" w:hAnsi="Times New Roman"/>
          <w:b/>
          <w:sz w:val="28"/>
          <w:szCs w:val="28"/>
        </w:rPr>
        <w:t>К1= (4</w:t>
      </w:r>
      <w:r w:rsidR="00E81A75">
        <w:rPr>
          <w:rFonts w:ascii="Times New Roman" w:hAnsi="Times New Roman"/>
          <w:b/>
          <w:sz w:val="28"/>
          <w:szCs w:val="28"/>
        </w:rPr>
        <w:t>326</w:t>
      </w:r>
      <w:r w:rsidRPr="00FA2C90">
        <w:rPr>
          <w:rFonts w:ascii="Times New Roman" w:hAnsi="Times New Roman"/>
          <w:b/>
          <w:sz w:val="28"/>
          <w:szCs w:val="28"/>
        </w:rPr>
        <w:t>/4</w:t>
      </w:r>
      <w:r w:rsidR="00E81A75">
        <w:rPr>
          <w:rFonts w:ascii="Times New Roman" w:hAnsi="Times New Roman"/>
          <w:b/>
          <w:sz w:val="28"/>
          <w:szCs w:val="28"/>
        </w:rPr>
        <w:t>312</w:t>
      </w:r>
      <w:r w:rsidRPr="00FA2C90">
        <w:rPr>
          <w:rFonts w:ascii="Times New Roman" w:hAnsi="Times New Roman"/>
          <w:b/>
          <w:sz w:val="28"/>
          <w:szCs w:val="28"/>
        </w:rPr>
        <w:t>+</w:t>
      </w:r>
      <w:r w:rsidR="00E81A75">
        <w:rPr>
          <w:rFonts w:ascii="Times New Roman" w:hAnsi="Times New Roman"/>
          <w:b/>
          <w:sz w:val="28"/>
          <w:szCs w:val="28"/>
        </w:rPr>
        <w:t>1327</w:t>
      </w:r>
      <w:r w:rsidRPr="00FA2C90">
        <w:rPr>
          <w:rFonts w:ascii="Times New Roman" w:hAnsi="Times New Roman"/>
          <w:b/>
          <w:sz w:val="28"/>
          <w:szCs w:val="28"/>
        </w:rPr>
        <w:t>/</w:t>
      </w:r>
      <w:r w:rsidR="00E81A75">
        <w:rPr>
          <w:rFonts w:ascii="Times New Roman" w:hAnsi="Times New Roman"/>
          <w:b/>
          <w:sz w:val="28"/>
          <w:szCs w:val="28"/>
        </w:rPr>
        <w:t>964</w:t>
      </w:r>
      <w:r w:rsidRPr="00FA2C90">
        <w:rPr>
          <w:rFonts w:ascii="Times New Roman" w:hAnsi="Times New Roman"/>
          <w:b/>
          <w:sz w:val="28"/>
          <w:szCs w:val="28"/>
        </w:rPr>
        <w:t>+</w:t>
      </w:r>
      <w:r w:rsidR="00E81A75">
        <w:rPr>
          <w:rFonts w:ascii="Times New Roman" w:hAnsi="Times New Roman"/>
          <w:b/>
          <w:sz w:val="28"/>
          <w:szCs w:val="28"/>
        </w:rPr>
        <w:t>104</w:t>
      </w:r>
      <w:r w:rsidRPr="00FA2C90">
        <w:rPr>
          <w:rFonts w:ascii="Times New Roman" w:hAnsi="Times New Roman"/>
          <w:b/>
          <w:sz w:val="28"/>
          <w:szCs w:val="28"/>
        </w:rPr>
        <w:t>/</w:t>
      </w:r>
      <w:r w:rsidR="00E81A75">
        <w:rPr>
          <w:rFonts w:ascii="Times New Roman" w:hAnsi="Times New Roman"/>
          <w:b/>
          <w:sz w:val="28"/>
          <w:szCs w:val="28"/>
        </w:rPr>
        <w:t>75</w:t>
      </w:r>
      <w:r w:rsidRPr="00FA2C90">
        <w:rPr>
          <w:rFonts w:ascii="Times New Roman" w:hAnsi="Times New Roman"/>
          <w:b/>
          <w:sz w:val="28"/>
          <w:szCs w:val="28"/>
        </w:rPr>
        <w:t>+1/1+</w:t>
      </w:r>
      <w:r w:rsidR="00E81A75">
        <w:rPr>
          <w:rFonts w:ascii="Times New Roman" w:hAnsi="Times New Roman"/>
          <w:b/>
          <w:sz w:val="28"/>
          <w:szCs w:val="28"/>
        </w:rPr>
        <w:t>52</w:t>
      </w:r>
      <w:r w:rsidRPr="00FA2C90">
        <w:rPr>
          <w:rFonts w:ascii="Times New Roman" w:hAnsi="Times New Roman"/>
          <w:b/>
          <w:sz w:val="28"/>
          <w:szCs w:val="28"/>
        </w:rPr>
        <w:t>/</w:t>
      </w:r>
      <w:r w:rsidR="00E81A75">
        <w:rPr>
          <w:rFonts w:ascii="Times New Roman" w:hAnsi="Times New Roman"/>
          <w:b/>
          <w:sz w:val="28"/>
          <w:szCs w:val="28"/>
        </w:rPr>
        <w:t>48</w:t>
      </w:r>
      <w:r w:rsidRPr="00FA2C90">
        <w:rPr>
          <w:rFonts w:ascii="Times New Roman" w:hAnsi="Times New Roman"/>
          <w:b/>
          <w:sz w:val="28"/>
          <w:szCs w:val="28"/>
        </w:rPr>
        <w:t>+</w:t>
      </w:r>
      <w:r w:rsidR="00E81A75">
        <w:rPr>
          <w:rFonts w:ascii="Times New Roman" w:hAnsi="Times New Roman"/>
          <w:b/>
          <w:sz w:val="28"/>
          <w:szCs w:val="28"/>
        </w:rPr>
        <w:t>6</w:t>
      </w:r>
      <w:r w:rsidRPr="00FA2C90">
        <w:rPr>
          <w:rFonts w:ascii="Times New Roman" w:hAnsi="Times New Roman"/>
          <w:b/>
          <w:sz w:val="28"/>
          <w:szCs w:val="28"/>
        </w:rPr>
        <w:t>/</w:t>
      </w:r>
      <w:r w:rsidR="00E81A75">
        <w:rPr>
          <w:rFonts w:ascii="Times New Roman" w:hAnsi="Times New Roman"/>
          <w:b/>
          <w:sz w:val="28"/>
          <w:szCs w:val="28"/>
        </w:rPr>
        <w:t>3</w:t>
      </w:r>
      <w:r w:rsidRPr="00FA2C90">
        <w:rPr>
          <w:rFonts w:ascii="Times New Roman" w:hAnsi="Times New Roman"/>
          <w:b/>
          <w:sz w:val="28"/>
          <w:szCs w:val="28"/>
        </w:rPr>
        <w:t>+2/</w:t>
      </w:r>
      <w:r w:rsidR="00E81A75">
        <w:rPr>
          <w:rFonts w:ascii="Times New Roman" w:hAnsi="Times New Roman"/>
          <w:b/>
          <w:sz w:val="28"/>
          <w:szCs w:val="28"/>
        </w:rPr>
        <w:t>2</w:t>
      </w:r>
      <w:r w:rsidRPr="00FA2C90">
        <w:rPr>
          <w:rFonts w:ascii="Times New Roman" w:hAnsi="Times New Roman"/>
          <w:b/>
          <w:sz w:val="28"/>
          <w:szCs w:val="28"/>
        </w:rPr>
        <w:t>+</w:t>
      </w:r>
      <w:r w:rsidR="00E81A75">
        <w:rPr>
          <w:rFonts w:ascii="Times New Roman" w:hAnsi="Times New Roman"/>
          <w:b/>
          <w:sz w:val="28"/>
          <w:szCs w:val="28"/>
        </w:rPr>
        <w:t>100</w:t>
      </w:r>
      <w:r w:rsidRPr="00FA2C90">
        <w:rPr>
          <w:rFonts w:ascii="Times New Roman" w:hAnsi="Times New Roman"/>
          <w:b/>
          <w:sz w:val="28"/>
          <w:szCs w:val="28"/>
        </w:rPr>
        <w:t>/</w:t>
      </w:r>
      <w:r w:rsidR="00E81A75">
        <w:rPr>
          <w:rFonts w:ascii="Times New Roman" w:hAnsi="Times New Roman"/>
          <w:b/>
          <w:sz w:val="28"/>
          <w:szCs w:val="28"/>
        </w:rPr>
        <w:t>28</w:t>
      </w:r>
      <w:r w:rsidRPr="00FA2C90">
        <w:rPr>
          <w:rFonts w:ascii="Times New Roman" w:hAnsi="Times New Roman"/>
          <w:b/>
          <w:sz w:val="28"/>
          <w:szCs w:val="28"/>
        </w:rPr>
        <w:t>)/8*100%=</w:t>
      </w:r>
      <w:r w:rsidR="00E81A75">
        <w:rPr>
          <w:rFonts w:ascii="Times New Roman" w:hAnsi="Times New Roman"/>
          <w:b/>
          <w:sz w:val="28"/>
          <w:szCs w:val="28"/>
        </w:rPr>
        <w:t>155</w:t>
      </w:r>
      <w:r w:rsidRPr="00FA2C90">
        <w:rPr>
          <w:rFonts w:ascii="Times New Roman" w:hAnsi="Times New Roman"/>
          <w:b/>
          <w:sz w:val="28"/>
          <w:szCs w:val="28"/>
        </w:rPr>
        <w:t>%.</w:t>
      </w:r>
    </w:p>
    <w:p w:rsidR="00FA2C90" w:rsidRDefault="00FA2C90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рассчитывается по формуле: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</w:t>
      </w:r>
      <w:r w:rsidRPr="00EF4B88">
        <w:rPr>
          <w:rFonts w:ascii="Times New Roman" w:eastAsia="Calibri" w:hAnsi="Times New Roman"/>
          <w:sz w:val="20"/>
          <w:szCs w:val="20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</w:t>
      </w:r>
      <w:r w:rsidRPr="00EF4B88">
        <w:rPr>
          <w:rFonts w:ascii="Times New Roman" w:eastAsia="Calibri" w:hAnsi="Times New Roman"/>
          <w:sz w:val="20"/>
          <w:szCs w:val="20"/>
        </w:rPr>
        <w:t>i</w:t>
      </w:r>
      <w:proofErr w:type="spellEnd"/>
      <w:r w:rsidRPr="00EF4B88">
        <w:rPr>
          <w:rFonts w:ascii="Times New Roman" w:eastAsia="Calibri" w:hAnsi="Times New Roman"/>
          <w:sz w:val="20"/>
          <w:szCs w:val="20"/>
        </w:rPr>
        <w:t xml:space="preserve"> </w:t>
      </w:r>
      <w:r w:rsidRPr="00EF4B88">
        <w:rPr>
          <w:rFonts w:ascii="Times New Roman" w:eastAsia="Calibri" w:hAnsi="Times New Roman"/>
          <w:sz w:val="28"/>
          <w:szCs w:val="28"/>
        </w:rPr>
        <w:t xml:space="preserve">=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,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lastRenderedPageBreak/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EF4B88" w:rsidRPr="00EF4B88" w:rsidRDefault="00EF4B88" w:rsidP="00A950C8">
      <w:pPr>
        <w:shd w:val="clear" w:color="auto" w:fill="FFFFFF"/>
        <w:spacing w:line="360" w:lineRule="auto"/>
        <w:ind w:left="10" w:right="5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EF4B88" w:rsidRPr="00EF4B88" w:rsidRDefault="00EF4B88" w:rsidP="00A950C8">
      <w:pPr>
        <w:shd w:val="clear" w:color="auto" w:fill="FFFFFF"/>
        <w:spacing w:line="360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EF4B88">
        <w:rPr>
          <w:rFonts w:ascii="Times New Roman" w:hAnsi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EF4B88"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:rsidR="00A950C8" w:rsidRDefault="00A950C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line="360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ф</w:t>
      </w:r>
      <w:proofErr w:type="spellEnd"/>
      <w:r w:rsidRPr="00EF4B88">
        <w:rPr>
          <w:rFonts w:ascii="Times New Roman" w:hAnsi="Times New Roman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х100%;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lastRenderedPageBreak/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ф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х100%</w:t>
      </w:r>
    </w:p>
    <w:p w:rsidR="00EF4B88" w:rsidRPr="00EF4B88" w:rsidRDefault="00EF4B88" w:rsidP="00A950C8">
      <w:pPr>
        <w:shd w:val="clear" w:color="auto" w:fill="FFFFFF"/>
        <w:spacing w:line="360" w:lineRule="auto"/>
        <w:ind w:left="552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pacing w:val="-4"/>
          <w:sz w:val="28"/>
          <w:szCs w:val="28"/>
        </w:rPr>
        <w:t>где</w:t>
      </w:r>
    </w:p>
    <w:p w:rsidR="00EF4B88" w:rsidRPr="00EF4B88" w:rsidRDefault="00EF4B88" w:rsidP="00A950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pacing w:val="-1"/>
          <w:sz w:val="28"/>
          <w:szCs w:val="28"/>
        </w:rPr>
        <w:t>Ф</w:t>
      </w:r>
      <w:r w:rsidRPr="00EF4B88">
        <w:rPr>
          <w:rFonts w:ascii="Times New Roman" w:hAnsi="Times New Roman"/>
          <w:spacing w:val="-1"/>
        </w:rPr>
        <w:t>ф</w:t>
      </w:r>
      <w:proofErr w:type="spellEnd"/>
      <w:r w:rsidRPr="00EF4B88"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EF4B88"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:rsidR="00EF4B88" w:rsidRPr="00EF4B88" w:rsidRDefault="00EF4B88" w:rsidP="00A950C8">
      <w:pPr>
        <w:shd w:val="clear" w:color="auto" w:fill="FFFFFF"/>
        <w:spacing w:line="360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= 100%).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FA2C90" w:rsidRPr="00E345A6" w:rsidRDefault="00FA2C90" w:rsidP="00FA2C90">
      <w:pPr>
        <w:shd w:val="clear" w:color="auto" w:fill="FFFFFF"/>
        <w:spacing w:after="0" w:line="312" w:lineRule="auto"/>
        <w:ind w:right="24"/>
        <w:jc w:val="both"/>
        <w:rPr>
          <w:rFonts w:ascii="Times New Roman" w:hAnsi="Times New Roman"/>
          <w:b/>
          <w:sz w:val="28"/>
          <w:szCs w:val="28"/>
        </w:rPr>
      </w:pPr>
      <w:r w:rsidRPr="00E345A6">
        <w:rPr>
          <w:rFonts w:ascii="Times New Roman" w:hAnsi="Times New Roman"/>
          <w:b/>
          <w:sz w:val="28"/>
          <w:szCs w:val="28"/>
        </w:rPr>
        <w:t>К</w:t>
      </w:r>
      <w:r w:rsidRPr="00E345A6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E345A6">
        <w:rPr>
          <w:rFonts w:ascii="Times New Roman" w:hAnsi="Times New Roman"/>
          <w:b/>
          <w:sz w:val="28"/>
          <w:szCs w:val="28"/>
        </w:rPr>
        <w:t xml:space="preserve"> = 4433,1/4433,1 х100% = 100%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Оценка уровня выполнения мероприятий 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</w:t>
      </w:r>
      <w:r w:rsidRPr="00EF4B88">
        <w:rPr>
          <w:rFonts w:ascii="Times New Roman" w:eastAsia="Calibri" w:hAnsi="Times New Roman"/>
          <w:sz w:val="28"/>
          <w:szCs w:val="28"/>
        </w:rPr>
        <w:lastRenderedPageBreak/>
        <w:t>роприятий муниципальной программы с запланированными мероприятиями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=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M</w:t>
      </w:r>
      <w:r w:rsidRPr="00EF4B88">
        <w:rPr>
          <w:rFonts w:ascii="Times New Roman" w:eastAsia="Calibri" w:hAnsi="Times New Roman"/>
          <w:sz w:val="18"/>
          <w:szCs w:val="18"/>
        </w:rPr>
        <w:t>ф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п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x 100 (%),</w:t>
      </w:r>
    </w:p>
    <w:p w:rsidR="00EF4B88" w:rsidRPr="00E345A6" w:rsidRDefault="00FA2C90" w:rsidP="00E345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345A6">
        <w:rPr>
          <w:rFonts w:ascii="Times New Roman" w:eastAsia="Calibri" w:hAnsi="Times New Roman"/>
          <w:b/>
          <w:sz w:val="28"/>
          <w:szCs w:val="28"/>
        </w:rPr>
        <w:t>К</w:t>
      </w:r>
      <w:r w:rsidRPr="00E345A6">
        <w:rPr>
          <w:rFonts w:ascii="Times New Roman" w:eastAsia="Calibri" w:hAnsi="Times New Roman"/>
          <w:b/>
          <w:sz w:val="18"/>
          <w:szCs w:val="18"/>
        </w:rPr>
        <w:t>3</w:t>
      </w:r>
      <w:r w:rsidRPr="00E345A6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004B55">
        <w:rPr>
          <w:rFonts w:ascii="Times New Roman" w:eastAsia="Calibri" w:hAnsi="Times New Roman"/>
          <w:b/>
          <w:sz w:val="28"/>
          <w:szCs w:val="28"/>
        </w:rPr>
        <w:t>8</w:t>
      </w:r>
      <w:r w:rsidRPr="00E345A6">
        <w:rPr>
          <w:rFonts w:ascii="Times New Roman" w:eastAsia="Calibri" w:hAnsi="Times New Roman"/>
          <w:b/>
          <w:sz w:val="28"/>
          <w:szCs w:val="28"/>
        </w:rPr>
        <w:t>/</w:t>
      </w:r>
      <w:r w:rsidR="00004B55">
        <w:rPr>
          <w:rFonts w:ascii="Times New Roman" w:eastAsia="Calibri" w:hAnsi="Times New Roman"/>
          <w:b/>
          <w:sz w:val="28"/>
          <w:szCs w:val="28"/>
        </w:rPr>
        <w:t>8</w:t>
      </w:r>
      <w:r w:rsidRPr="00E345A6">
        <w:rPr>
          <w:rFonts w:ascii="Times New Roman" w:eastAsia="Calibri" w:hAnsi="Times New Roman"/>
          <w:b/>
          <w:sz w:val="28"/>
          <w:szCs w:val="28"/>
        </w:rPr>
        <w:t xml:space="preserve"> x</w:t>
      </w:r>
      <w:r w:rsidR="004D79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345A6">
        <w:rPr>
          <w:rFonts w:ascii="Times New Roman" w:eastAsia="Calibri" w:hAnsi="Times New Roman"/>
          <w:b/>
          <w:sz w:val="28"/>
          <w:szCs w:val="28"/>
        </w:rPr>
        <w:t>100 %=</w:t>
      </w:r>
      <w:r w:rsidR="00E345A6" w:rsidRPr="00E345A6">
        <w:rPr>
          <w:rFonts w:ascii="Times New Roman" w:eastAsia="Calibri" w:hAnsi="Times New Roman"/>
          <w:b/>
          <w:sz w:val="28"/>
          <w:szCs w:val="28"/>
        </w:rPr>
        <w:t>100%.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ф</w:t>
      </w:r>
      <w:r w:rsidRPr="00EF4B88">
        <w:rPr>
          <w:rFonts w:ascii="Times New Roman" w:eastAsia="Calibri" w:hAnsi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п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за весь период реализации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Эобщ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</w:rPr>
        <w:t>общ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= (Э</w:t>
      </w:r>
      <w:r w:rsidRPr="00EF4B88">
        <w:rPr>
          <w:rFonts w:ascii="Times New Roman" w:hAnsi="Times New Roman"/>
          <w:sz w:val="18"/>
          <w:szCs w:val="18"/>
        </w:rPr>
        <w:t>1</w:t>
      </w:r>
      <w:r w:rsidRPr="00EF4B88">
        <w:rPr>
          <w:rFonts w:ascii="Times New Roman" w:hAnsi="Times New Roman"/>
          <w:sz w:val="28"/>
          <w:szCs w:val="28"/>
        </w:rPr>
        <w:t xml:space="preserve"> + Э</w:t>
      </w:r>
      <w:r w:rsidRPr="00EF4B88">
        <w:rPr>
          <w:rFonts w:ascii="Times New Roman" w:hAnsi="Times New Roman"/>
          <w:sz w:val="18"/>
          <w:szCs w:val="18"/>
        </w:rPr>
        <w:t>2</w:t>
      </w:r>
      <w:r w:rsidRPr="00EF4B88">
        <w:rPr>
          <w:rFonts w:ascii="Times New Roman" w:hAnsi="Times New Roman"/>
          <w:sz w:val="28"/>
          <w:szCs w:val="28"/>
        </w:rPr>
        <w:t xml:space="preserve"> + Э</w:t>
      </w:r>
      <w:r w:rsidRPr="00EF4B88">
        <w:rPr>
          <w:rFonts w:ascii="Times New Roman" w:hAnsi="Times New Roman"/>
          <w:sz w:val="18"/>
          <w:szCs w:val="18"/>
        </w:rPr>
        <w:t>3</w:t>
      </w:r>
      <w:r w:rsidRPr="00EF4B88">
        <w:rPr>
          <w:rFonts w:ascii="Times New Roman" w:hAnsi="Times New Roman"/>
          <w:sz w:val="28"/>
          <w:szCs w:val="28"/>
        </w:rPr>
        <w:t xml:space="preserve"> + ...+ </w:t>
      </w: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j</w:t>
      </w:r>
      <w:proofErr w:type="spellEnd"/>
      <w:r w:rsidRPr="00EF4B88">
        <w:rPr>
          <w:rFonts w:ascii="Times New Roman" w:hAnsi="Times New Roman"/>
          <w:sz w:val="28"/>
          <w:szCs w:val="28"/>
        </w:rPr>
        <w:t>) / j.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b/>
          <w:sz w:val="28"/>
          <w:szCs w:val="28"/>
        </w:rPr>
        <w:t>Э</w:t>
      </w:r>
      <w:r w:rsidRPr="00EF4B88">
        <w:rPr>
          <w:rFonts w:ascii="Times New Roman" w:eastAsia="Calibri" w:hAnsi="Times New Roman"/>
          <w:b/>
        </w:rPr>
        <w:t>общ</w:t>
      </w:r>
      <w:proofErr w:type="spellEnd"/>
      <w:r w:rsidRPr="00EF4B88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8C021E">
        <w:rPr>
          <w:rFonts w:ascii="Times New Roman" w:eastAsia="Calibri" w:hAnsi="Times New Roman"/>
          <w:b/>
          <w:sz w:val="28"/>
          <w:szCs w:val="28"/>
        </w:rPr>
        <w:t>127,5</w:t>
      </w:r>
      <w:r w:rsidRPr="00EF4B88">
        <w:rPr>
          <w:rFonts w:ascii="Times New Roman" w:eastAsia="Calibri" w:hAnsi="Times New Roman"/>
          <w:b/>
          <w:sz w:val="28"/>
          <w:szCs w:val="28"/>
        </w:rPr>
        <w:t>/</w:t>
      </w:r>
      <w:r w:rsidR="008C021E">
        <w:rPr>
          <w:rFonts w:ascii="Times New Roman" w:eastAsia="Calibri" w:hAnsi="Times New Roman"/>
          <w:b/>
          <w:sz w:val="28"/>
          <w:szCs w:val="28"/>
        </w:rPr>
        <w:t>1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8C021E">
        <w:rPr>
          <w:rFonts w:ascii="Times New Roman" w:eastAsia="Calibri" w:hAnsi="Times New Roman"/>
          <w:b/>
          <w:sz w:val="28"/>
          <w:szCs w:val="28"/>
        </w:rPr>
        <w:t>127,5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где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1</w:t>
      </w:r>
      <w:r w:rsidRPr="00EF4B8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lastRenderedPageBreak/>
        <w:t>Э</w:t>
      </w:r>
      <w:r w:rsidRPr="00EF4B88">
        <w:rPr>
          <w:rFonts w:ascii="Times New Roman" w:hAnsi="Times New Roman"/>
          <w:sz w:val="18"/>
          <w:szCs w:val="18"/>
        </w:rPr>
        <w:t>2</w:t>
      </w:r>
      <w:r w:rsidRPr="00EF4B8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j</w:t>
      </w:r>
      <w:proofErr w:type="spellEnd"/>
      <w:r w:rsidRPr="00EF4B88">
        <w:rPr>
          <w:rFonts w:ascii="Times New Roman" w:hAnsi="Times New Roman"/>
          <w:sz w:val="18"/>
          <w:szCs w:val="18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EF4B88" w:rsidRPr="00E345A6" w:rsidRDefault="00EF4B88" w:rsidP="00E345A6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j - число лет реал</w:t>
      </w:r>
      <w:r w:rsidR="00E345A6">
        <w:rPr>
          <w:rFonts w:ascii="Times New Roman" w:hAnsi="Times New Roman"/>
          <w:sz w:val="28"/>
          <w:szCs w:val="28"/>
        </w:rPr>
        <w:t>изации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Вывод об эффективности реализации </w:t>
      </w:r>
    </w:p>
    <w:p w:rsidR="00EF4B88" w:rsidRPr="00EF4B88" w:rsidRDefault="00EF4B88" w:rsidP="00A950C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F4B88" w:rsidRPr="00EF4B88" w:rsidRDefault="00EF4B88" w:rsidP="00A950C8">
      <w:pPr>
        <w:shd w:val="clear" w:color="auto" w:fill="FFFFFF"/>
        <w:spacing w:line="360" w:lineRule="auto"/>
        <w:ind w:left="154" w:firstLine="730"/>
        <w:rPr>
          <w:rFonts w:ascii="Times New Roman" w:hAnsi="Times New Roman"/>
          <w:sz w:val="28"/>
          <w:szCs w:val="28"/>
        </w:rPr>
      </w:pPr>
    </w:p>
    <w:p w:rsidR="008E24E3" w:rsidRDefault="00AD5321" w:rsidP="00A950C8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20"/>
          <w:szCs w:val="20"/>
        </w:rPr>
        <w:t>j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составляет 1</w:t>
      </w:r>
      <w:r w:rsidR="008C021E">
        <w:rPr>
          <w:rFonts w:ascii="Times New Roman" w:eastAsia="Calibri" w:hAnsi="Times New Roman"/>
          <w:sz w:val="28"/>
          <w:szCs w:val="28"/>
        </w:rPr>
        <w:t>27,5</w:t>
      </w:r>
      <w:r>
        <w:rPr>
          <w:rFonts w:ascii="Times New Roman" w:eastAsia="Calibri" w:hAnsi="Times New Roman"/>
          <w:sz w:val="28"/>
          <w:szCs w:val="28"/>
        </w:rPr>
        <w:t xml:space="preserve"> %,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20"/>
          <w:szCs w:val="20"/>
        </w:rPr>
        <w:t>общ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составляет 1</w:t>
      </w:r>
      <w:r w:rsidR="008C021E">
        <w:rPr>
          <w:rFonts w:ascii="Times New Roman" w:eastAsia="Calibri" w:hAnsi="Times New Roman"/>
          <w:sz w:val="28"/>
          <w:szCs w:val="28"/>
        </w:rPr>
        <w:t>27,5</w:t>
      </w:r>
      <w:r>
        <w:rPr>
          <w:rFonts w:ascii="Times New Roman" w:eastAsia="Calibri" w:hAnsi="Times New Roman"/>
          <w:sz w:val="28"/>
          <w:szCs w:val="28"/>
        </w:rPr>
        <w:t xml:space="preserve"> %.</w:t>
      </w:r>
      <w:r w:rsidR="004559E0">
        <w:rPr>
          <w:rFonts w:ascii="Times New Roman" w:hAnsi="Times New Roman"/>
          <w:sz w:val="28"/>
          <w:szCs w:val="28"/>
        </w:rPr>
        <w:t xml:space="preserve"> </w:t>
      </w:r>
      <w:r w:rsidR="00EF22B9">
        <w:rPr>
          <w:rFonts w:ascii="Times New Roman" w:eastAsia="Calibri" w:hAnsi="Times New Roman"/>
          <w:sz w:val="28"/>
          <w:szCs w:val="28"/>
        </w:rPr>
        <w:t xml:space="preserve">Следовательно, эффективность реализации муниципальной программы оценивается, как соответствующая запланированной – </w:t>
      </w:r>
      <w:r w:rsidR="004559E0">
        <w:rPr>
          <w:rFonts w:ascii="Times New Roman" w:eastAsia="Calibri" w:hAnsi="Times New Roman"/>
          <w:sz w:val="28"/>
          <w:szCs w:val="28"/>
        </w:rPr>
        <w:t>эффективная</w:t>
      </w:r>
      <w:r w:rsidR="00EF22B9">
        <w:rPr>
          <w:rFonts w:ascii="Times New Roman" w:eastAsia="Calibri" w:hAnsi="Times New Roman"/>
          <w:sz w:val="28"/>
          <w:szCs w:val="28"/>
        </w:rPr>
        <w:t xml:space="preserve"> реализация муниципальной программы.</w:t>
      </w:r>
    </w:p>
    <w:p w:rsidR="00A950C8" w:rsidRDefault="004559E0" w:rsidP="00A950C8">
      <w:pPr>
        <w:pStyle w:val="a9"/>
        <w:numPr>
          <w:ilvl w:val="1"/>
          <w:numId w:val="2"/>
        </w:num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 дальнейшей реализации муниципальной программы</w:t>
      </w:r>
    </w:p>
    <w:p w:rsidR="00A950C8" w:rsidRPr="00A950C8" w:rsidRDefault="00A950C8" w:rsidP="00A950C8">
      <w:pPr>
        <w:pStyle w:val="a9"/>
        <w:shd w:val="clear" w:color="auto" w:fill="FFFFFF"/>
        <w:spacing w:line="360" w:lineRule="auto"/>
        <w:ind w:left="1004"/>
        <w:rPr>
          <w:rFonts w:ascii="Times New Roman" w:hAnsi="Times New Roman"/>
          <w:sz w:val="28"/>
          <w:szCs w:val="28"/>
        </w:rPr>
      </w:pPr>
    </w:p>
    <w:p w:rsidR="004559E0" w:rsidRPr="004559E0" w:rsidRDefault="004559E0" w:rsidP="00A950C8">
      <w:pPr>
        <w:pStyle w:val="a9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продолжить реализацию Программы, поскольку по итогам комплексной оценки эффективности реализации данная муниципальная программа признана эффективной.</w:t>
      </w:r>
    </w:p>
    <w:sectPr w:rsidR="004559E0" w:rsidRPr="0045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7FE"/>
    <w:multiLevelType w:val="hybridMultilevel"/>
    <w:tmpl w:val="CAE64FE2"/>
    <w:lvl w:ilvl="0" w:tplc="E3B2B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5638"/>
    <w:multiLevelType w:val="hybridMultilevel"/>
    <w:tmpl w:val="77A6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92AF0"/>
    <w:multiLevelType w:val="hybridMultilevel"/>
    <w:tmpl w:val="9D3C7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521C4CED"/>
    <w:multiLevelType w:val="hybridMultilevel"/>
    <w:tmpl w:val="E1A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D5EB3"/>
    <w:multiLevelType w:val="hybridMultilevel"/>
    <w:tmpl w:val="FD70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C13AF"/>
    <w:multiLevelType w:val="hybridMultilevel"/>
    <w:tmpl w:val="DAE0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43CC"/>
    <w:multiLevelType w:val="hybridMultilevel"/>
    <w:tmpl w:val="7C6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C6341"/>
    <w:multiLevelType w:val="hybridMultilevel"/>
    <w:tmpl w:val="F4C82A34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A374E"/>
    <w:multiLevelType w:val="multilevel"/>
    <w:tmpl w:val="DAF2FF2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6"/>
    <w:rsid w:val="00004B55"/>
    <w:rsid w:val="0003787E"/>
    <w:rsid w:val="00127599"/>
    <w:rsid w:val="00183BC0"/>
    <w:rsid w:val="001E43AE"/>
    <w:rsid w:val="002421BB"/>
    <w:rsid w:val="002E6B58"/>
    <w:rsid w:val="003947C5"/>
    <w:rsid w:val="003D7AD1"/>
    <w:rsid w:val="004273C0"/>
    <w:rsid w:val="004559E0"/>
    <w:rsid w:val="0047336F"/>
    <w:rsid w:val="00496AEA"/>
    <w:rsid w:val="004C2C37"/>
    <w:rsid w:val="004D7930"/>
    <w:rsid w:val="005849FA"/>
    <w:rsid w:val="00621D9A"/>
    <w:rsid w:val="00707B4A"/>
    <w:rsid w:val="00786168"/>
    <w:rsid w:val="00786F6C"/>
    <w:rsid w:val="007C0D21"/>
    <w:rsid w:val="007D5DBA"/>
    <w:rsid w:val="008058B5"/>
    <w:rsid w:val="00861756"/>
    <w:rsid w:val="008967BA"/>
    <w:rsid w:val="008B2F5A"/>
    <w:rsid w:val="008C021E"/>
    <w:rsid w:val="008E24E3"/>
    <w:rsid w:val="009A48E6"/>
    <w:rsid w:val="00A00998"/>
    <w:rsid w:val="00A33706"/>
    <w:rsid w:val="00A52784"/>
    <w:rsid w:val="00A80A78"/>
    <w:rsid w:val="00A950C8"/>
    <w:rsid w:val="00AD5321"/>
    <w:rsid w:val="00B522A1"/>
    <w:rsid w:val="00BA4739"/>
    <w:rsid w:val="00CD2075"/>
    <w:rsid w:val="00D226F4"/>
    <w:rsid w:val="00DE2201"/>
    <w:rsid w:val="00DF72DD"/>
    <w:rsid w:val="00E345A6"/>
    <w:rsid w:val="00E6448E"/>
    <w:rsid w:val="00E76112"/>
    <w:rsid w:val="00E81A75"/>
    <w:rsid w:val="00EE6300"/>
    <w:rsid w:val="00EF22B9"/>
    <w:rsid w:val="00EF4B88"/>
    <w:rsid w:val="00F15326"/>
    <w:rsid w:val="00F70765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C72B9-A923-473E-8F79-D900AA2B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5326"/>
    <w:rPr>
      <w:color w:val="0000FF"/>
      <w:u w:val="single"/>
    </w:rPr>
  </w:style>
  <w:style w:type="paragraph" w:styleId="a4">
    <w:name w:val="Normal (Web)"/>
    <w:basedOn w:val="a"/>
    <w:unhideWhenUsed/>
    <w:rsid w:val="00F15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153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153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Основной текст_"/>
    <w:link w:val="1"/>
    <w:locked/>
    <w:rsid w:val="00F153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15326"/>
    <w:pPr>
      <w:widowControl w:val="0"/>
      <w:shd w:val="clear" w:color="auto" w:fill="FFFFFF"/>
      <w:spacing w:after="36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character" w:styleId="a6">
    <w:name w:val="Strong"/>
    <w:basedOn w:val="a0"/>
    <w:qFormat/>
    <w:rsid w:val="00F153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3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aktualnaja-informatsija-dlja-subektov-predprinimatelstv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dokumenty/otsenka-regulirujushhego-vozdejjstvij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156B-B09C-4AB4-A122-2CBC71CE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15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Заличева Екатерина Ивановна</cp:lastModifiedBy>
  <cp:revision>19</cp:revision>
  <cp:lastPrinted>2023-04-04T05:32:00Z</cp:lastPrinted>
  <dcterms:created xsi:type="dcterms:W3CDTF">2022-02-28T07:18:00Z</dcterms:created>
  <dcterms:modified xsi:type="dcterms:W3CDTF">2023-11-13T05:26:00Z</dcterms:modified>
</cp:coreProperties>
</file>