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7" w:rsidRDefault="000F2D3E" w:rsidP="00C619F2">
      <w:pPr>
        <w:spacing w:after="0" w:line="240" w:lineRule="auto"/>
        <w:ind w:right="141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0" w:name="P31"/>
      <w:bookmarkEnd w:id="0"/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 xml:space="preserve">Администрация </w:t>
      </w:r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 xml:space="preserve">сельского поселения </w:t>
      </w:r>
      <w:proofErr w:type="gramStart"/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>Комсомольский</w:t>
      </w:r>
      <w:proofErr w:type="gramEnd"/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>муниципального района Кинельский</w:t>
      </w:r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>Самарской области</w:t>
      </w:r>
    </w:p>
    <w:p w:rsidR="00A560CC" w:rsidRDefault="00A560CC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Pr="00E555E2" w:rsidRDefault="00A560CC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555E2" w:rsidRPr="00E555E2" w:rsidRDefault="00E555E2" w:rsidP="00E555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Pr="00A560CC" w:rsidRDefault="00A560CC" w:rsidP="00E55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A56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08 ноября 2021 г.</w:t>
      </w:r>
      <w:r w:rsidRPr="00A56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56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№ 109</w:t>
      </w:r>
    </w:p>
    <w:p w:rsidR="00E555E2" w:rsidRDefault="00E555E2" w:rsidP="00E555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Default="00E555E2" w:rsidP="00E555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Pr="00E555E2" w:rsidRDefault="00E555E2" w:rsidP="00450879">
      <w:pPr>
        <w:spacing w:after="0" w:line="240" w:lineRule="auto"/>
        <w:ind w:right="34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рограммы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ципального жилищного контроля на территории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555E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Комсомольский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Кинельский Самарской области на 2022 год.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Pr="00E555E2" w:rsidRDefault="00E555E2" w:rsidP="0045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Комсомольский муниципального района Кинельский Самарской области </w:t>
      </w:r>
      <w:proofErr w:type="gramEnd"/>
    </w:p>
    <w:p w:rsidR="00E555E2" w:rsidRPr="00E555E2" w:rsidRDefault="00E555E2" w:rsidP="0045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E555E2" w:rsidRPr="00E555E2" w:rsidRDefault="00E555E2" w:rsidP="0045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рограмму</w:t>
      </w:r>
      <w:r w:rsidRPr="009D0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0765" w:rsidRPr="009D07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D0765" w:rsidRPr="009D07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жилищного контроля на территории</w:t>
      </w:r>
      <w:r w:rsidR="009D0765" w:rsidRPr="009D076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D0765" w:rsidRPr="009D076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Комсомольский </w:t>
      </w:r>
      <w:r w:rsidR="009D0765" w:rsidRPr="009D07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Кинельский Самарской области на 2022 год </w:t>
      </w:r>
      <w:r w:rsidRPr="009D076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E555E2" w:rsidRPr="00E555E2" w:rsidRDefault="00E555E2" w:rsidP="0045087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E555E2" w:rsidRPr="00E555E2" w:rsidRDefault="00E555E2" w:rsidP="0045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сельского поселения Комсомольский муниципального района Кинельский Самарской области </w:t>
      </w:r>
      <w:r w:rsidRPr="00E55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:rsidR="00E555E2" w:rsidRPr="00E555E2" w:rsidRDefault="00E555E2" w:rsidP="0045087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5E2" w:rsidRPr="00E555E2" w:rsidRDefault="00E555E2" w:rsidP="0045087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5E2" w:rsidRP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сельского поселения </w:t>
      </w:r>
      <w:proofErr w:type="gramStart"/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Комсомольский</w:t>
      </w:r>
      <w:proofErr w:type="gramEnd"/>
    </w:p>
    <w:p w:rsidR="00E555E2" w:rsidRP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Кинельский </w:t>
      </w:r>
    </w:p>
    <w:p w:rsid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Самарской области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56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О.А. Деревяшкин</w:t>
      </w:r>
    </w:p>
    <w:p w:rsidR="00450879" w:rsidRDefault="00450879" w:rsidP="0045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Pr="00E555E2" w:rsidRDefault="00E555E2" w:rsidP="0045087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</w:t>
      </w:r>
    </w:p>
    <w:p w:rsidR="00E555E2" w:rsidRPr="00E555E2" w:rsidRDefault="00E555E2" w:rsidP="004508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постановлению администрации сельского поселения </w:t>
      </w:r>
      <w:proofErr w:type="gramStart"/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>Комсомольский</w:t>
      </w:r>
      <w:proofErr w:type="gramEnd"/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района Кинельский Самарской области </w:t>
      </w:r>
      <w:r w:rsidRPr="00E555E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</w:t>
      </w:r>
    </w:p>
    <w:p w:rsidR="00E555E2" w:rsidRPr="00E555E2" w:rsidRDefault="00E555E2" w:rsidP="004508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</w:t>
      </w:r>
      <w:r w:rsidR="00A560CC">
        <w:rPr>
          <w:rFonts w:ascii="Times New Roman" w:eastAsia="Times New Roman" w:hAnsi="Times New Roman" w:cs="Times New Roman"/>
          <w:color w:val="000000"/>
          <w:sz w:val="24"/>
          <w:szCs w:val="28"/>
        </w:rPr>
        <w:t>08 ноября</w:t>
      </w:r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2021 № </w:t>
      </w:r>
      <w:r w:rsidR="00A560CC">
        <w:rPr>
          <w:rFonts w:ascii="Times New Roman" w:eastAsia="Times New Roman" w:hAnsi="Times New Roman" w:cs="Times New Roman"/>
          <w:color w:val="000000"/>
          <w:sz w:val="24"/>
          <w:szCs w:val="28"/>
        </w:rPr>
        <w:t>109</w:t>
      </w:r>
    </w:p>
    <w:p w:rsidR="00E555E2" w:rsidRP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7A7F" w:rsidRDefault="005E7A7F" w:rsidP="004508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ципального жилищного контроля на территории</w:t>
      </w:r>
      <w:r w:rsidR="00E555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555E2" w:rsidRPr="00E555E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Комсомольский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Кинельский Самарской области на 2022 год.</w:t>
      </w:r>
    </w:p>
    <w:p w:rsidR="00E555E2" w:rsidRDefault="00E555E2" w:rsidP="004508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E555E2" w:rsidRPr="00E555E2" w:rsidRDefault="00E555E2" w:rsidP="004508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182B" w:rsidRPr="007663CA" w:rsidRDefault="00BE182B" w:rsidP="0045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rFonts w:ascii="Times New Roman" w:hAnsi="Times New Roman" w:cs="Times New Roman"/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5E7A7F" w:rsidRPr="00E555E2" w:rsidRDefault="005E7A7F" w:rsidP="004508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A7F" w:rsidRPr="00A560CC" w:rsidRDefault="005E7A7F" w:rsidP="00A560C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0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560CC" w:rsidRPr="00A560CC" w:rsidRDefault="00A560CC" w:rsidP="00A560C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A7F" w:rsidRPr="00E555E2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E555E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55E2" w:rsidRPr="00E555E2">
        <w:rPr>
          <w:rFonts w:ascii="Times New Roman" w:hAnsi="Times New Roman" w:cs="Times New Roman"/>
          <w:sz w:val="28"/>
          <w:szCs w:val="28"/>
        </w:rPr>
        <w:t>сельского поселения Комсомольский</w:t>
      </w:r>
      <w:r w:rsidR="00D87CC6" w:rsidRPr="00E555E2">
        <w:rPr>
          <w:rFonts w:ascii="Times New Roman" w:hAnsi="Times New Roman" w:cs="Times New Roman"/>
          <w:sz w:val="28"/>
          <w:szCs w:val="28"/>
        </w:rPr>
        <w:t xml:space="preserve"> </w:t>
      </w:r>
      <w:r w:rsidRPr="00E555E2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0534AA" w:rsidRPr="008A3343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E7A7F" w:rsidRPr="008A3343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0534AA" w:rsidRPr="008A3343" w:rsidRDefault="00DD58CD" w:rsidP="004508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принятия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170-ФЗ муниципальный жилищный контроль</w:t>
      </w:r>
      <w:r w:rsidRPr="008A3343">
        <w:rPr>
          <w:rFonts w:ascii="Times New Roman" w:hAnsi="Times New Roman" w:cs="Times New Roman"/>
          <w:sz w:val="28"/>
          <w:szCs w:val="28"/>
        </w:rPr>
        <w:t xml:space="preserve">  </w:t>
      </w:r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осуществлялся </w:t>
      </w:r>
      <w:proofErr w:type="gramStart"/>
      <w:r w:rsidR="00013D73" w:rsidRPr="008A334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переданных полномочий  на 2021 год администрацией муниципального района Кинельский Самарской области</w:t>
      </w:r>
      <w:r w:rsidRPr="008A3343">
        <w:rPr>
          <w:rFonts w:ascii="Times New Roman" w:hAnsi="Times New Roman" w:cs="Times New Roman"/>
          <w:sz w:val="28"/>
          <w:szCs w:val="28"/>
        </w:rPr>
        <w:t xml:space="preserve">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34AA" w:rsidRDefault="00DD58CD" w:rsidP="00450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34AA">
        <w:rPr>
          <w:rFonts w:ascii="Times New Roman" w:hAnsi="Times New Roman" w:cs="Times New Roman"/>
          <w:sz w:val="28"/>
          <w:szCs w:val="28"/>
        </w:rPr>
        <w:t xml:space="preserve">ольшое внимание 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0534AA" w:rsidRPr="000E0F90">
        <w:rPr>
          <w:rFonts w:ascii="Times New Roman" w:hAnsi="Times New Roman" w:cs="Times New Roman"/>
          <w:sz w:val="28"/>
          <w:szCs w:val="28"/>
        </w:rPr>
        <w:t xml:space="preserve"> профи</w:t>
      </w:r>
      <w:r w:rsidR="000534AA">
        <w:rPr>
          <w:rFonts w:ascii="Times New Roman" w:hAnsi="Times New Roman" w:cs="Times New Roman"/>
          <w:sz w:val="28"/>
          <w:szCs w:val="28"/>
        </w:rPr>
        <w:t>лактике нарушений.  Проводились профилактические мероприятия</w:t>
      </w:r>
      <w:r w:rsidR="000534AA" w:rsidRPr="00F46C23">
        <w:rPr>
          <w:rFonts w:ascii="Times New Roman" w:hAnsi="Times New Roman" w:cs="Times New Roman"/>
          <w:sz w:val="28"/>
          <w:szCs w:val="28"/>
        </w:rPr>
        <w:t>, направле</w:t>
      </w:r>
      <w:r w:rsidR="000534AA">
        <w:rPr>
          <w:rFonts w:ascii="Times New Roman" w:hAnsi="Times New Roman" w:cs="Times New Roman"/>
          <w:sz w:val="28"/>
          <w:szCs w:val="28"/>
        </w:rPr>
        <w:t>нные на предупреждение нарушений</w:t>
      </w:r>
      <w:r w:rsidR="000534AA" w:rsidRPr="00F46C23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</w:t>
      </w:r>
      <w:r w:rsidR="000534AA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615E98" w:rsidRDefault="000534AA" w:rsidP="00450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2021 года    согласно,  плана – графика </w:t>
      </w:r>
      <w:r w:rsidR="00013D7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публичное обсуждение  результатов правоприменительной практики при осуществлении муниципального жилищного  контроля на территории муниципального </w:t>
      </w:r>
      <w:r w:rsidRPr="00C0534E">
        <w:rPr>
          <w:rFonts w:ascii="Times New Roman" w:hAnsi="Times New Roman" w:cs="Times New Roman"/>
          <w:sz w:val="28"/>
          <w:szCs w:val="28"/>
        </w:rPr>
        <w:t>района Кинельский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886AFE" w:rsidRPr="008A3343" w:rsidRDefault="00615E98" w:rsidP="0045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публичных обсуждений </w:t>
      </w:r>
      <w:r w:rsidR="00886AFE">
        <w:rPr>
          <w:rFonts w:ascii="Times New Roman" w:hAnsi="Times New Roman" w:cs="Times New Roman"/>
          <w:sz w:val="28"/>
          <w:szCs w:val="28"/>
        </w:rPr>
        <w:t xml:space="preserve">представителем Кинельской межрайонной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AFE">
        <w:rPr>
          <w:rFonts w:ascii="Times New Roman" w:hAnsi="Times New Roman" w:cs="Times New Roman"/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прокуратуры  были  разъяснены  вопросы применения</w:t>
      </w:r>
      <w:r w:rsidR="00886AFE">
        <w:rPr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248-ФЗ «</w:t>
      </w:r>
      <w:r w:rsidR="00886AFE" w:rsidRPr="008A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  <w:r w:rsidR="00886AFE" w:rsidRPr="008A3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AA" w:rsidRPr="000534AA" w:rsidRDefault="000534AA" w:rsidP="00450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   Был  с</w:t>
      </w:r>
      <w:r w:rsidRPr="004A4BC1">
        <w:rPr>
          <w:rFonts w:ascii="Times New Roman" w:hAnsi="Times New Roman" w:cs="Times New Roman"/>
          <w:sz w:val="28"/>
          <w:szCs w:val="28"/>
        </w:rPr>
        <w:t>формирован список</w:t>
      </w:r>
      <w:r>
        <w:rPr>
          <w:rFonts w:ascii="Times New Roman" w:hAnsi="Times New Roman" w:cs="Times New Roman"/>
          <w:sz w:val="28"/>
          <w:szCs w:val="28"/>
        </w:rPr>
        <w:t xml:space="preserve"> нормативно правовых </w:t>
      </w:r>
      <w:r w:rsidRPr="004A4BC1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C1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4BC1">
        <w:rPr>
          <w:rFonts w:ascii="Times New Roman" w:hAnsi="Times New Roman" w:cs="Times New Roman"/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rFonts w:ascii="Times New Roman" w:hAnsi="Times New Roman" w:cs="Times New Roman"/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действующие.</w:t>
      </w:r>
      <w:r w:rsidRPr="004A4BC1">
        <w:rPr>
          <w:rFonts w:ascii="Times New Roman" w:hAnsi="Times New Roman" w:cs="Times New Roman"/>
          <w:sz w:val="28"/>
          <w:szCs w:val="28"/>
        </w:rPr>
        <w:t xml:space="preserve"> Кроме того, в указанный период в рамках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жилищного </w:t>
      </w:r>
      <w:r w:rsidRPr="004A4BC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рейдовые выезды - осмотры, </w:t>
      </w:r>
      <w:r w:rsidRPr="00EE6F53">
        <w:rPr>
          <w:rFonts w:ascii="Times New Roman" w:hAnsi="Times New Roman" w:cs="Times New Roman"/>
          <w:sz w:val="28"/>
          <w:szCs w:val="28"/>
        </w:rPr>
        <w:t xml:space="preserve">выдавались   предостережения о </w:t>
      </w:r>
      <w:r w:rsidRPr="004A4BC1">
        <w:rPr>
          <w:rFonts w:ascii="Times New Roman" w:hAnsi="Times New Roman" w:cs="Times New Roman"/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домов и (или) жилых помещений</w:t>
      </w:r>
      <w:proofErr w:type="gramStart"/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3343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560CC" w:rsidRDefault="00A560CC" w:rsidP="0045087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5E7A7F" w:rsidRDefault="005E7A7F" w:rsidP="00A560C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555E2">
        <w:rPr>
          <w:b/>
          <w:color w:val="000000" w:themeColor="text1"/>
          <w:sz w:val="28"/>
          <w:szCs w:val="28"/>
        </w:rPr>
        <w:t>Цели и задачи реализации программы профилактики</w:t>
      </w:r>
    </w:p>
    <w:p w:rsidR="00A560CC" w:rsidRPr="00E555E2" w:rsidRDefault="00A560CC" w:rsidP="00A560CC">
      <w:pPr>
        <w:pStyle w:val="s1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</w:rPr>
      </w:pPr>
      <w:bookmarkStart w:id="3" w:name="_GoBack"/>
      <w:bookmarkEnd w:id="3"/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 w:cs="Times New Roman"/>
          <w:sz w:val="28"/>
          <w:szCs w:val="28"/>
        </w:rPr>
        <w:t>;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 w:cs="Times New Roman"/>
          <w:sz w:val="28"/>
          <w:szCs w:val="28"/>
        </w:rPr>
        <w:t>.</w:t>
      </w:r>
    </w:p>
    <w:p w:rsidR="005E7A7F" w:rsidRPr="008A3343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E7A7F" w:rsidRPr="00E555E2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555E2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5E7A7F" w:rsidRPr="00E555E2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555E2">
        <w:rPr>
          <w:b/>
          <w:color w:val="22272F"/>
          <w:sz w:val="28"/>
          <w:szCs w:val="28"/>
        </w:rPr>
        <w:t>сроки (периодичность) их проведения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right="-42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</w:t>
      </w:r>
      <w:r w:rsidR="00E555E2">
        <w:rPr>
          <w:color w:val="000000" w:themeColor="text1"/>
          <w:sz w:val="28"/>
          <w:szCs w:val="28"/>
        </w:rPr>
        <w:t xml:space="preserve">илактических мероприятий, сроки </w:t>
      </w:r>
      <w:r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4"/>
        <w:gridCol w:w="2668"/>
        <w:gridCol w:w="3150"/>
        <w:gridCol w:w="1930"/>
        <w:gridCol w:w="1943"/>
      </w:tblGrid>
      <w:tr w:rsidR="005F0884" w:rsidRPr="00E555E2" w:rsidTr="005E7A7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</w:t>
            </w:r>
            <w:proofErr w:type="gramEnd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F0884" w:rsidRPr="00E555E2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E555E2" w:rsidRDefault="005E7A7F" w:rsidP="0045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E7A7F" w:rsidRPr="00E555E2" w:rsidRDefault="005E7A7F" w:rsidP="00450879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E555E2" w:rsidRDefault="005E7A7F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 Р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E7A7F" w:rsidRPr="00E555E2" w:rsidRDefault="005E7A7F" w:rsidP="00450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E555E2" w:rsidRDefault="005E7A7F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Ежегодно, </w:t>
            </w:r>
          </w:p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E555E2" w:rsidRDefault="005F0884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2. Р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 Р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E555E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Ежегодно, </w:t>
            </w:r>
          </w:p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Обобщение практики осуществления 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анализа выявленных в 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E555E2"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законом ценностям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E555E2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A43ED5" w:rsidRPr="00E555E2" w:rsidRDefault="00A43ED5" w:rsidP="004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A43ED5" w:rsidRPr="00E555E2" w:rsidRDefault="00A43ED5" w:rsidP="004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43ED5" w:rsidRPr="00E555E2" w:rsidRDefault="00A43ED5" w:rsidP="004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жилищный контроль;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E555E2">
              <w:rPr>
                <w:color w:val="000000"/>
                <w:lang w:eastAsia="en-US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 </w:t>
            </w:r>
            <w:r w:rsidRPr="00E555E2">
              <w:t>сельского поселения Комсомольский муниципального рай</w:t>
            </w:r>
            <w:r>
              <w:t>она Кинельский Самарской области</w:t>
            </w:r>
            <w:r w:rsidRPr="00E555E2">
              <w:rPr>
                <w:i/>
                <w:iCs/>
                <w:color w:val="000000"/>
                <w:sz w:val="22"/>
                <w:lang w:eastAsia="en-US"/>
              </w:rPr>
              <w:t xml:space="preserve"> </w:t>
            </w:r>
            <w:r w:rsidRPr="00E555E2"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E555E2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</w:tbl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555E2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E555E2" w:rsidRPr="00E555E2" w:rsidRDefault="00E555E2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5E7A7F" w:rsidRPr="00E555E2" w:rsidRDefault="005E7A7F" w:rsidP="0045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869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E555E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E555E2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Единица измерения, свидетельствующая о максимальной результативности программы </w:t>
            </w:r>
            <w:r w:rsidRPr="00E555E2">
              <w:rPr>
                <w:rFonts w:ascii="Times New Roman" w:hAnsi="Times New Roman" w:cs="Times New Roman"/>
                <w:lang w:eastAsia="en-US"/>
              </w:rPr>
              <w:lastRenderedPageBreak/>
              <w:t>профилактики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100 %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Количество р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8A2869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</w:t>
            </w:r>
            <w:proofErr w:type="gramStart"/>
            <w:r w:rsidRPr="00E555E2">
              <w:rPr>
                <w:rFonts w:ascii="Times New Roman" w:hAnsi="Times New Roman" w:cs="Times New Roman"/>
                <w:lang w:eastAsia="en-US"/>
              </w:rPr>
              <w:t>предостережений</w:t>
            </w:r>
            <w:proofErr w:type="gramEnd"/>
            <w:r w:rsidRPr="00E555E2">
              <w:rPr>
                <w:rFonts w:ascii="Times New Roman" w:hAnsi="Times New Roman" w:cs="Times New Roman"/>
                <w:lang w:eastAsia="en-US"/>
              </w:rPr>
              <w:t xml:space="preserve"> в общем количестве случаев 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E555E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собраний и конференций граждан, на которых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8A2869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</w:tbl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E7A7F" w:rsidRPr="008A2869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E7A7F" w:rsidRPr="008A2869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E555E2" w:rsidRPr="00E555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E555E2" w:rsidRPr="00E555E2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E555E2" w:rsidRPr="00E555E2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8A2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869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="005F0884"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E555E2" w:rsidRPr="00E555E2">
        <w:rPr>
          <w:rFonts w:ascii="Times New Roman" w:hAnsi="Times New Roman" w:cs="Times New Roman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2F4417" w:rsidRPr="001103D2" w:rsidRDefault="002F4417" w:rsidP="004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F4417" w:rsidRPr="001103D2" w:rsidSect="00603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0F" w:rsidRDefault="0050730F" w:rsidP="00912C8F">
      <w:pPr>
        <w:spacing w:after="0" w:line="240" w:lineRule="auto"/>
      </w:pPr>
      <w:r>
        <w:separator/>
      </w:r>
    </w:p>
  </w:endnote>
  <w:endnote w:type="continuationSeparator" w:id="0">
    <w:p w:rsidR="0050730F" w:rsidRDefault="0050730F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0F" w:rsidRDefault="0050730F" w:rsidP="00912C8F">
      <w:pPr>
        <w:spacing w:after="0" w:line="240" w:lineRule="auto"/>
      </w:pPr>
      <w:r>
        <w:separator/>
      </w:r>
    </w:p>
  </w:footnote>
  <w:footnote w:type="continuationSeparator" w:id="0">
    <w:p w:rsidR="0050730F" w:rsidRDefault="0050730F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7634D3"/>
    <w:multiLevelType w:val="hybridMultilevel"/>
    <w:tmpl w:val="0E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5"/>
  </w:num>
  <w:num w:numId="15">
    <w:abstractNumId w:val="2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799F"/>
    <w:rsid w:val="00013D73"/>
    <w:rsid w:val="00017EDE"/>
    <w:rsid w:val="00030805"/>
    <w:rsid w:val="0003264C"/>
    <w:rsid w:val="00051AEA"/>
    <w:rsid w:val="00052981"/>
    <w:rsid w:val="000534AA"/>
    <w:rsid w:val="00054DC6"/>
    <w:rsid w:val="00061C8B"/>
    <w:rsid w:val="000635E0"/>
    <w:rsid w:val="00087927"/>
    <w:rsid w:val="000B2959"/>
    <w:rsid w:val="000E5013"/>
    <w:rsid w:val="000E538B"/>
    <w:rsid w:val="000F2D3E"/>
    <w:rsid w:val="000F4AFE"/>
    <w:rsid w:val="00100A0E"/>
    <w:rsid w:val="00101ADF"/>
    <w:rsid w:val="00110AFD"/>
    <w:rsid w:val="001224DF"/>
    <w:rsid w:val="001244A9"/>
    <w:rsid w:val="001311C9"/>
    <w:rsid w:val="001408EC"/>
    <w:rsid w:val="00141507"/>
    <w:rsid w:val="00143B9D"/>
    <w:rsid w:val="0014477F"/>
    <w:rsid w:val="00150368"/>
    <w:rsid w:val="0015068C"/>
    <w:rsid w:val="0016379B"/>
    <w:rsid w:val="0016706A"/>
    <w:rsid w:val="001704FF"/>
    <w:rsid w:val="001819C6"/>
    <w:rsid w:val="001860D4"/>
    <w:rsid w:val="00194FE0"/>
    <w:rsid w:val="001951E8"/>
    <w:rsid w:val="00196FE8"/>
    <w:rsid w:val="001B5ACA"/>
    <w:rsid w:val="001C49D6"/>
    <w:rsid w:val="001D0319"/>
    <w:rsid w:val="001E28BA"/>
    <w:rsid w:val="001E3A12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5117E"/>
    <w:rsid w:val="00252AF4"/>
    <w:rsid w:val="00253C9E"/>
    <w:rsid w:val="00260630"/>
    <w:rsid w:val="002862D6"/>
    <w:rsid w:val="00295AF2"/>
    <w:rsid w:val="002A1A5E"/>
    <w:rsid w:val="002A76CD"/>
    <w:rsid w:val="002C2E61"/>
    <w:rsid w:val="002D02DC"/>
    <w:rsid w:val="002E1E50"/>
    <w:rsid w:val="002E1F1F"/>
    <w:rsid w:val="002E24E3"/>
    <w:rsid w:val="002F153B"/>
    <w:rsid w:val="002F4417"/>
    <w:rsid w:val="002F7C93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4F43"/>
    <w:rsid w:val="003754F0"/>
    <w:rsid w:val="003829EF"/>
    <w:rsid w:val="003863AC"/>
    <w:rsid w:val="00393A0B"/>
    <w:rsid w:val="00397414"/>
    <w:rsid w:val="003A15A6"/>
    <w:rsid w:val="003A2D11"/>
    <w:rsid w:val="003B4922"/>
    <w:rsid w:val="003C2E00"/>
    <w:rsid w:val="003D29BA"/>
    <w:rsid w:val="003E66BF"/>
    <w:rsid w:val="003F1198"/>
    <w:rsid w:val="003F55C3"/>
    <w:rsid w:val="003F6D0C"/>
    <w:rsid w:val="003F7615"/>
    <w:rsid w:val="00420BED"/>
    <w:rsid w:val="004276B2"/>
    <w:rsid w:val="00437411"/>
    <w:rsid w:val="00443ADC"/>
    <w:rsid w:val="00450879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B55F4"/>
    <w:rsid w:val="004B62D2"/>
    <w:rsid w:val="004C65E4"/>
    <w:rsid w:val="004C736E"/>
    <w:rsid w:val="004D2682"/>
    <w:rsid w:val="004D3E48"/>
    <w:rsid w:val="004D4405"/>
    <w:rsid w:val="004D73A8"/>
    <w:rsid w:val="004E760F"/>
    <w:rsid w:val="004F3022"/>
    <w:rsid w:val="0050730F"/>
    <w:rsid w:val="0051010F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18EC"/>
    <w:rsid w:val="00593823"/>
    <w:rsid w:val="005B0C67"/>
    <w:rsid w:val="005B63DB"/>
    <w:rsid w:val="005C05D4"/>
    <w:rsid w:val="005C510C"/>
    <w:rsid w:val="005D68B1"/>
    <w:rsid w:val="005D7726"/>
    <w:rsid w:val="005E4586"/>
    <w:rsid w:val="005E5B8B"/>
    <w:rsid w:val="005E7A7F"/>
    <w:rsid w:val="005F0884"/>
    <w:rsid w:val="005F699F"/>
    <w:rsid w:val="00600AD0"/>
    <w:rsid w:val="00603FD9"/>
    <w:rsid w:val="0061580F"/>
    <w:rsid w:val="00615E98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6024"/>
    <w:rsid w:val="0068799B"/>
    <w:rsid w:val="006A1482"/>
    <w:rsid w:val="006A3CE9"/>
    <w:rsid w:val="006A6E19"/>
    <w:rsid w:val="006B16A4"/>
    <w:rsid w:val="006C27A6"/>
    <w:rsid w:val="006C3975"/>
    <w:rsid w:val="006C5F35"/>
    <w:rsid w:val="006D56EA"/>
    <w:rsid w:val="006E206D"/>
    <w:rsid w:val="006E7E14"/>
    <w:rsid w:val="006F5BAD"/>
    <w:rsid w:val="00732C7B"/>
    <w:rsid w:val="0075171D"/>
    <w:rsid w:val="0075421A"/>
    <w:rsid w:val="007574CE"/>
    <w:rsid w:val="00761125"/>
    <w:rsid w:val="00770963"/>
    <w:rsid w:val="00772322"/>
    <w:rsid w:val="00781620"/>
    <w:rsid w:val="00785A77"/>
    <w:rsid w:val="007A36A6"/>
    <w:rsid w:val="007A43AC"/>
    <w:rsid w:val="007B578F"/>
    <w:rsid w:val="007B73D4"/>
    <w:rsid w:val="007C24B5"/>
    <w:rsid w:val="007D450B"/>
    <w:rsid w:val="007E1FB1"/>
    <w:rsid w:val="007E37A5"/>
    <w:rsid w:val="007E46E7"/>
    <w:rsid w:val="007E5F1E"/>
    <w:rsid w:val="007E6B52"/>
    <w:rsid w:val="007F2C4A"/>
    <w:rsid w:val="00803DE9"/>
    <w:rsid w:val="00806C4F"/>
    <w:rsid w:val="008073B1"/>
    <w:rsid w:val="00830739"/>
    <w:rsid w:val="008342C9"/>
    <w:rsid w:val="00845FEB"/>
    <w:rsid w:val="008477D7"/>
    <w:rsid w:val="00853AA7"/>
    <w:rsid w:val="0086250F"/>
    <w:rsid w:val="00876869"/>
    <w:rsid w:val="00883990"/>
    <w:rsid w:val="00886AFE"/>
    <w:rsid w:val="00890DB4"/>
    <w:rsid w:val="008A0EF9"/>
    <w:rsid w:val="008A2869"/>
    <w:rsid w:val="008A3343"/>
    <w:rsid w:val="008A67D4"/>
    <w:rsid w:val="008A6C7E"/>
    <w:rsid w:val="008C4450"/>
    <w:rsid w:val="008D5645"/>
    <w:rsid w:val="008D7BC5"/>
    <w:rsid w:val="008E07A1"/>
    <w:rsid w:val="008F1557"/>
    <w:rsid w:val="009065CD"/>
    <w:rsid w:val="00912C8F"/>
    <w:rsid w:val="00923A7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B042E"/>
    <w:rsid w:val="009B2EC7"/>
    <w:rsid w:val="009B2EE7"/>
    <w:rsid w:val="009B4A80"/>
    <w:rsid w:val="009B5AA8"/>
    <w:rsid w:val="009B67E6"/>
    <w:rsid w:val="009B6D87"/>
    <w:rsid w:val="009D0765"/>
    <w:rsid w:val="009D5193"/>
    <w:rsid w:val="009E4313"/>
    <w:rsid w:val="009F3FAE"/>
    <w:rsid w:val="009F5515"/>
    <w:rsid w:val="00A001BF"/>
    <w:rsid w:val="00A1754B"/>
    <w:rsid w:val="00A17686"/>
    <w:rsid w:val="00A20569"/>
    <w:rsid w:val="00A23A86"/>
    <w:rsid w:val="00A26636"/>
    <w:rsid w:val="00A3733A"/>
    <w:rsid w:val="00A40AD3"/>
    <w:rsid w:val="00A4306B"/>
    <w:rsid w:val="00A432BC"/>
    <w:rsid w:val="00A43ED5"/>
    <w:rsid w:val="00A44FF7"/>
    <w:rsid w:val="00A450BF"/>
    <w:rsid w:val="00A475B3"/>
    <w:rsid w:val="00A47605"/>
    <w:rsid w:val="00A50715"/>
    <w:rsid w:val="00A525E8"/>
    <w:rsid w:val="00A560CC"/>
    <w:rsid w:val="00A56F24"/>
    <w:rsid w:val="00A60298"/>
    <w:rsid w:val="00A61785"/>
    <w:rsid w:val="00A96F8B"/>
    <w:rsid w:val="00AA2113"/>
    <w:rsid w:val="00AA5834"/>
    <w:rsid w:val="00AA7CC3"/>
    <w:rsid w:val="00AE1DEB"/>
    <w:rsid w:val="00AE4E28"/>
    <w:rsid w:val="00AE729C"/>
    <w:rsid w:val="00AF5FA1"/>
    <w:rsid w:val="00B1118A"/>
    <w:rsid w:val="00B1678B"/>
    <w:rsid w:val="00B169DF"/>
    <w:rsid w:val="00B17C0D"/>
    <w:rsid w:val="00B225DD"/>
    <w:rsid w:val="00B23FED"/>
    <w:rsid w:val="00B355AA"/>
    <w:rsid w:val="00B36BC3"/>
    <w:rsid w:val="00B36F87"/>
    <w:rsid w:val="00B54786"/>
    <w:rsid w:val="00B54A1B"/>
    <w:rsid w:val="00B54EBE"/>
    <w:rsid w:val="00B60BA0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E182B"/>
    <w:rsid w:val="00BF2061"/>
    <w:rsid w:val="00BF38E0"/>
    <w:rsid w:val="00BF7FC1"/>
    <w:rsid w:val="00C0534E"/>
    <w:rsid w:val="00C057F5"/>
    <w:rsid w:val="00C06E02"/>
    <w:rsid w:val="00C16930"/>
    <w:rsid w:val="00C35013"/>
    <w:rsid w:val="00C41051"/>
    <w:rsid w:val="00C53627"/>
    <w:rsid w:val="00C53E18"/>
    <w:rsid w:val="00C619F2"/>
    <w:rsid w:val="00C77061"/>
    <w:rsid w:val="00C7728E"/>
    <w:rsid w:val="00C91BF2"/>
    <w:rsid w:val="00C92630"/>
    <w:rsid w:val="00C93C39"/>
    <w:rsid w:val="00CA21D4"/>
    <w:rsid w:val="00CB22CE"/>
    <w:rsid w:val="00CB5718"/>
    <w:rsid w:val="00CC25F0"/>
    <w:rsid w:val="00CF09B0"/>
    <w:rsid w:val="00CF43CD"/>
    <w:rsid w:val="00D04F32"/>
    <w:rsid w:val="00D138E8"/>
    <w:rsid w:val="00D173FD"/>
    <w:rsid w:val="00D31387"/>
    <w:rsid w:val="00D41D02"/>
    <w:rsid w:val="00D47F30"/>
    <w:rsid w:val="00D61847"/>
    <w:rsid w:val="00D66F54"/>
    <w:rsid w:val="00D87CC6"/>
    <w:rsid w:val="00D93FA3"/>
    <w:rsid w:val="00DA1DA5"/>
    <w:rsid w:val="00DB19B7"/>
    <w:rsid w:val="00DC2E52"/>
    <w:rsid w:val="00DC5945"/>
    <w:rsid w:val="00DD58CD"/>
    <w:rsid w:val="00DE0DE8"/>
    <w:rsid w:val="00DF6729"/>
    <w:rsid w:val="00DF7C41"/>
    <w:rsid w:val="00E03EC3"/>
    <w:rsid w:val="00E07004"/>
    <w:rsid w:val="00E12740"/>
    <w:rsid w:val="00E16B42"/>
    <w:rsid w:val="00E1727A"/>
    <w:rsid w:val="00E3339C"/>
    <w:rsid w:val="00E35905"/>
    <w:rsid w:val="00E401EF"/>
    <w:rsid w:val="00E40337"/>
    <w:rsid w:val="00E430A3"/>
    <w:rsid w:val="00E465C6"/>
    <w:rsid w:val="00E54F83"/>
    <w:rsid w:val="00E55476"/>
    <w:rsid w:val="00E555E2"/>
    <w:rsid w:val="00E61191"/>
    <w:rsid w:val="00E65DFA"/>
    <w:rsid w:val="00E665F1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F00E9A"/>
    <w:rsid w:val="00F14C27"/>
    <w:rsid w:val="00F20C18"/>
    <w:rsid w:val="00F338FF"/>
    <w:rsid w:val="00F55FE0"/>
    <w:rsid w:val="00F56124"/>
    <w:rsid w:val="00F570E5"/>
    <w:rsid w:val="00F61534"/>
    <w:rsid w:val="00F7344A"/>
    <w:rsid w:val="00F90B87"/>
    <w:rsid w:val="00F934CE"/>
    <w:rsid w:val="00F948DB"/>
    <w:rsid w:val="00FA0E59"/>
    <w:rsid w:val="00FA114D"/>
    <w:rsid w:val="00FA2F92"/>
    <w:rsid w:val="00FA3B73"/>
    <w:rsid w:val="00FB33DC"/>
    <w:rsid w:val="00FB4775"/>
    <w:rsid w:val="00FD0B5A"/>
    <w:rsid w:val="00FD1733"/>
    <w:rsid w:val="00FE15BC"/>
    <w:rsid w:val="00FE544A"/>
    <w:rsid w:val="00FE69DA"/>
    <w:rsid w:val="00FE6AF7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7C53-6370-4C2F-BA50-6D04EF49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34</cp:revision>
  <cp:lastPrinted>2020-11-27T05:36:00Z</cp:lastPrinted>
  <dcterms:created xsi:type="dcterms:W3CDTF">2020-11-24T10:49:00Z</dcterms:created>
  <dcterms:modified xsi:type="dcterms:W3CDTF">2021-11-16T07:06:00Z</dcterms:modified>
</cp:coreProperties>
</file>