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1" w:rsidRPr="007615C3" w:rsidRDefault="00CA71C1" w:rsidP="00CA71C1">
      <w:pPr>
        <w:pStyle w:val="1"/>
        <w:ind w:firstLine="0"/>
      </w:pPr>
      <w:r>
        <w:t xml:space="preserve">                   Администрация  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CA71C1" w:rsidRPr="007615C3" w:rsidRDefault="00CA71C1" w:rsidP="00CA71C1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u w:val="single"/>
        </w:rPr>
        <w:t xml:space="preserve"> </w:t>
      </w:r>
      <w:r w:rsidR="006222A7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  от </w:t>
      </w:r>
      <w:r w:rsidR="006222A7">
        <w:rPr>
          <w:b/>
          <w:sz w:val="28"/>
          <w:szCs w:val="28"/>
          <w:u w:val="single"/>
        </w:rPr>
        <w:t>20.01.2022</w:t>
      </w:r>
      <w:r>
        <w:rPr>
          <w:b/>
          <w:sz w:val="28"/>
          <w:szCs w:val="28"/>
          <w:u w:val="single"/>
        </w:rPr>
        <w:t xml:space="preserve"> </w:t>
      </w:r>
      <w:r w:rsidRPr="007615C3">
        <w:rPr>
          <w:b/>
          <w:sz w:val="28"/>
          <w:szCs w:val="28"/>
          <w:u w:val="single"/>
        </w:rPr>
        <w:t xml:space="preserve"> г</w:t>
      </w:r>
    </w:p>
    <w:p w:rsidR="00CA71C1" w:rsidRPr="00624192" w:rsidRDefault="00CA71C1" w:rsidP="00CA71C1">
      <w:pPr>
        <w:rPr>
          <w:b/>
          <w:bCs/>
          <w:color w:val="000000" w:themeColor="text1"/>
          <w:sz w:val="28"/>
          <w:szCs w:val="28"/>
        </w:rPr>
      </w:pPr>
    </w:p>
    <w:p w:rsidR="00CA71C1" w:rsidRPr="00624192" w:rsidRDefault="00CA71C1" w:rsidP="00CA71C1">
      <w:pPr>
        <w:rPr>
          <w:b/>
          <w:bCs/>
          <w:color w:val="000000" w:themeColor="text1"/>
          <w:sz w:val="28"/>
          <w:szCs w:val="28"/>
        </w:rPr>
      </w:pPr>
    </w:p>
    <w:p w:rsidR="00DB1016" w:rsidRPr="00CA71C1" w:rsidRDefault="00624192" w:rsidP="00CA71C1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CA71C1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gramStart"/>
      <w:r w:rsidR="00CA71C1">
        <w:rPr>
          <w:b/>
          <w:bCs/>
          <w:color w:val="000000"/>
          <w:sz w:val="28"/>
          <w:szCs w:val="28"/>
        </w:rPr>
        <w:t>Новый</w:t>
      </w:r>
      <w:proofErr w:type="gramEnd"/>
      <w:r w:rsidR="00CA71C1">
        <w:rPr>
          <w:b/>
          <w:bCs/>
          <w:color w:val="000000"/>
          <w:sz w:val="28"/>
          <w:szCs w:val="28"/>
        </w:rPr>
        <w:t xml:space="preserve"> Сарбай муниципального района Кинельский.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A71C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A71C1">
        <w:rPr>
          <w:color w:val="000000" w:themeColor="text1"/>
          <w:sz w:val="28"/>
          <w:szCs w:val="28"/>
        </w:rPr>
        <w:t>Новый</w:t>
      </w:r>
      <w:proofErr w:type="gramEnd"/>
      <w:r w:rsidR="00CA71C1">
        <w:rPr>
          <w:color w:val="000000" w:themeColor="text1"/>
          <w:sz w:val="28"/>
          <w:szCs w:val="28"/>
        </w:rPr>
        <w:t xml:space="preserve"> Сарбай муниципального района Кинельский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CA71C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A71C1">
        <w:rPr>
          <w:color w:val="000000" w:themeColor="text1"/>
          <w:sz w:val="28"/>
          <w:szCs w:val="28"/>
        </w:rPr>
        <w:t>Новый</w:t>
      </w:r>
      <w:proofErr w:type="gramEnd"/>
      <w:r w:rsidR="00CA71C1">
        <w:rPr>
          <w:color w:val="000000" w:themeColor="text1"/>
          <w:sz w:val="28"/>
          <w:szCs w:val="28"/>
        </w:rPr>
        <w:t xml:space="preserve"> Сарбай муниципального района Кинельский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2.</w:t>
      </w:r>
      <w:r w:rsidR="00221FA6" w:rsidRPr="00221FA6">
        <w:rPr>
          <w:rFonts w:ascii="Arial" w:hAnsi="Arial" w:cs="Arial"/>
          <w:b/>
          <w:bCs/>
          <w:color w:val="2C2D2E"/>
          <w:sz w:val="28"/>
          <w:szCs w:val="28"/>
        </w:rPr>
        <w:t xml:space="preserve"> </w:t>
      </w:r>
      <w:r w:rsidR="00221FA6">
        <w:rPr>
          <w:bCs/>
          <w:color w:val="2C2D2E"/>
          <w:sz w:val="28"/>
          <w:szCs w:val="28"/>
        </w:rPr>
        <w:t xml:space="preserve">Настоящее постановление </w:t>
      </w:r>
      <w:r w:rsidR="00221FA6" w:rsidRPr="00221FA6">
        <w:rPr>
          <w:bCs/>
          <w:color w:val="2C2D2E"/>
          <w:sz w:val="28"/>
          <w:szCs w:val="28"/>
        </w:rPr>
        <w:t xml:space="preserve"> вступает в силу  со дня его официального опубликования и распространяется на правоотношения, возникшие с 1 марта 2022 года</w:t>
      </w:r>
      <w:r w:rsidRPr="00221FA6">
        <w:rPr>
          <w:color w:val="000000" w:themeColor="text1"/>
          <w:sz w:val="28"/>
          <w:szCs w:val="28"/>
        </w:rPr>
        <w:t>.</w:t>
      </w:r>
      <w:r w:rsidR="00973E82" w:rsidRPr="00221FA6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CA71C1">
        <w:rPr>
          <w:color w:val="000000" w:themeColor="text1"/>
          <w:sz w:val="28"/>
          <w:szCs w:val="28"/>
        </w:rPr>
        <w:t xml:space="preserve"> 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A71C1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A71C1">
        <w:rPr>
          <w:color w:val="000000" w:themeColor="text1"/>
          <w:sz w:val="28"/>
          <w:szCs w:val="28"/>
        </w:rPr>
        <w:t>сельского поселения</w:t>
      </w:r>
    </w:p>
    <w:p w:rsidR="00624192" w:rsidRPr="00624192" w:rsidRDefault="00CA71C1" w:rsidP="00624192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Новый Сарбай                                                                     А.С. </w:t>
      </w:r>
      <w:proofErr w:type="spellStart"/>
      <w:r>
        <w:rPr>
          <w:color w:val="000000" w:themeColor="text1"/>
          <w:sz w:val="28"/>
          <w:szCs w:val="28"/>
        </w:rPr>
        <w:t>Золотухин</w:t>
      </w:r>
      <w:proofErr w:type="spellEnd"/>
      <w:r>
        <w:rPr>
          <w:color w:val="000000" w:themeColor="text1"/>
          <w:sz w:val="28"/>
          <w:szCs w:val="28"/>
        </w:rPr>
        <w:t>.</w:t>
      </w:r>
      <w:r w:rsidR="00624192"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F7063">
        <w:rPr>
          <w:color w:val="000000" w:themeColor="text1"/>
          <w:sz w:val="28"/>
          <w:szCs w:val="28"/>
        </w:rPr>
        <w:t xml:space="preserve">сельского поселения Новый Сарбай </w:t>
      </w:r>
    </w:p>
    <w:p w:rsidR="00624192" w:rsidRPr="00624192" w:rsidRDefault="006F706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20.01. 2022 г.  № 11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CA71C1">
        <w:rPr>
          <w:color w:val="000000" w:themeColor="text1"/>
          <w:sz w:val="28"/>
          <w:szCs w:val="28"/>
        </w:rPr>
        <w:t>сельском поселении Новый Сарбай муниципального района Кинельский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5000" w:type="pct"/>
        <w:tblLook w:val="04A0"/>
      </w:tblPr>
      <w:tblGrid>
        <w:gridCol w:w="760"/>
        <w:gridCol w:w="2618"/>
        <w:gridCol w:w="2255"/>
        <w:gridCol w:w="461"/>
        <w:gridCol w:w="581"/>
        <w:gridCol w:w="1713"/>
        <w:gridCol w:w="2032"/>
      </w:tblGrid>
      <w:tr w:rsidR="00C02F91" w:rsidRPr="00635EAE" w:rsidTr="006222A7">
        <w:trPr>
          <w:trHeight w:val="2870"/>
        </w:trPr>
        <w:tc>
          <w:tcPr>
            <w:tcW w:w="365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1256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82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22" w:type="pct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975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6222A7">
        <w:tc>
          <w:tcPr>
            <w:tcW w:w="365" w:type="pct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1256" w:type="pct"/>
            <w:vMerge/>
          </w:tcPr>
          <w:p w:rsidR="00FD5534" w:rsidRPr="00635EAE" w:rsidRDefault="00FD5534" w:rsidP="00FD5534"/>
        </w:tc>
        <w:tc>
          <w:tcPr>
            <w:tcW w:w="1082" w:type="pct"/>
            <w:vMerge/>
          </w:tcPr>
          <w:p w:rsidR="00FD5534" w:rsidRPr="00635EAE" w:rsidRDefault="00FD5534" w:rsidP="00FD5534"/>
        </w:tc>
        <w:tc>
          <w:tcPr>
            <w:tcW w:w="22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279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82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975" w:type="pct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6222A7">
        <w:tc>
          <w:tcPr>
            <w:tcW w:w="5000" w:type="pct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 xml:space="preserve">юридических лиц, индивидуальных предпринимателей, осуществляющих управление многоквартирными домами, в </w:t>
            </w:r>
            <w:r w:rsidRPr="001A42F8">
              <w:lastRenderedPageBreak/>
              <w:t>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6222A7">
        <w:tc>
          <w:tcPr>
            <w:tcW w:w="365" w:type="pct"/>
          </w:tcPr>
          <w:p w:rsidR="000975D6" w:rsidRDefault="00CC4E8D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6" w:type="pct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1082" w:type="pct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2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1256" w:type="pct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1082" w:type="pct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221" w:type="pct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6222A7">
        <w:tc>
          <w:tcPr>
            <w:tcW w:w="365" w:type="pct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1256" w:type="pct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1082" w:type="pct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2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6222A7">
        <w:tc>
          <w:tcPr>
            <w:tcW w:w="365" w:type="pct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1256" w:type="pct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</w:t>
            </w:r>
            <w:r>
              <w:lastRenderedPageBreak/>
              <w:t>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1082" w:type="pct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2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6222A7">
        <w:tc>
          <w:tcPr>
            <w:tcW w:w="365" w:type="pct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1256" w:type="pct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</w:t>
            </w:r>
            <w:r w:rsidRPr="00187FE3">
              <w:lastRenderedPageBreak/>
              <w:t>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1082" w:type="pct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2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6222A7">
        <w:tc>
          <w:tcPr>
            <w:tcW w:w="5000" w:type="pct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6222A7">
        <w:tc>
          <w:tcPr>
            <w:tcW w:w="365" w:type="pct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1256" w:type="pct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1082" w:type="pct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221" w:type="pct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1256" w:type="pct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1082" w:type="pct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2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1256" w:type="pct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1082" w:type="pct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2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1256" w:type="pct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1082" w:type="pct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1256" w:type="pct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1082" w:type="pct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1256" w:type="pct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1082" w:type="pct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1256" w:type="pct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1082" w:type="pct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6222A7">
        <w:tc>
          <w:tcPr>
            <w:tcW w:w="365" w:type="pct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1256" w:type="pct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1082" w:type="pct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221" w:type="pct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6222A7">
        <w:tc>
          <w:tcPr>
            <w:tcW w:w="5000" w:type="pct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6222A7">
        <w:tc>
          <w:tcPr>
            <w:tcW w:w="365" w:type="pct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1256" w:type="pct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1082" w:type="pct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2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1256" w:type="pct"/>
          </w:tcPr>
          <w:p w:rsidR="000975D6" w:rsidRPr="006E41CF" w:rsidRDefault="000C2BCF" w:rsidP="00B72A78">
            <w:pPr>
              <w:jc w:val="both"/>
            </w:pPr>
            <w:r w:rsidRPr="006E41CF">
              <w:t xml:space="preserve">Имеется акт приемочной комиссии, подтверждающий </w:t>
            </w:r>
            <w:r w:rsidRPr="006E41CF">
              <w:lastRenderedPageBreak/>
              <w:t>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1082" w:type="pct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2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1256" w:type="pct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1082" w:type="pct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6222A7">
        <w:tc>
          <w:tcPr>
            <w:tcW w:w="5000" w:type="pct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6222A7">
        <w:tc>
          <w:tcPr>
            <w:tcW w:w="365" w:type="pct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1256" w:type="pct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1082" w:type="pct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221" w:type="pct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1256" w:type="pct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 xml:space="preserve">документы на установленные коллективные (общедомовые) приборы учета и сведения о </w:t>
            </w:r>
            <w:r w:rsidRPr="00D84AD5">
              <w:lastRenderedPageBreak/>
              <w:t>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</w:t>
            </w:r>
            <w:r w:rsidR="00785B81" w:rsidRPr="00785B81">
              <w:lastRenderedPageBreak/>
              <w:t>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1256" w:type="pct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1256" w:type="pct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1082" w:type="pct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221" w:type="pct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1256" w:type="pct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 xml:space="preserve">ого фонда к </w:t>
            </w:r>
            <w:r w:rsidRPr="006F7D80">
              <w:lastRenderedPageBreak/>
              <w:t>сезонной эксплуатации</w:t>
            </w:r>
            <w:r w:rsidR="009E5F87">
              <w:t>:</w:t>
            </w:r>
          </w:p>
        </w:tc>
        <w:tc>
          <w:tcPr>
            <w:tcW w:w="1082" w:type="pct"/>
            <w:vMerge w:val="restart"/>
          </w:tcPr>
          <w:p w:rsidR="00642713" w:rsidRDefault="00642713" w:rsidP="009427F3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</w:t>
            </w:r>
            <w:r w:rsidRPr="006F7D80">
              <w:lastRenderedPageBreak/>
              <w:t>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1256" w:type="pct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1256" w:type="pct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1256" w:type="pct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1256" w:type="pct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1256" w:type="pct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1256" w:type="pct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1256" w:type="pct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</w:t>
            </w:r>
            <w:r w:rsidR="00642713" w:rsidRPr="005F5732">
              <w:lastRenderedPageBreak/>
              <w:t>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1256" w:type="pct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1256" w:type="pct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1256" w:type="pct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</w:t>
            </w:r>
            <w:r w:rsidRPr="00C252B5">
              <w:lastRenderedPageBreak/>
              <w:t xml:space="preserve">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1082" w:type="pct"/>
          </w:tcPr>
          <w:p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1256" w:type="pct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1082" w:type="pct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1256" w:type="pct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1082" w:type="pct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1256" w:type="pct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1082" w:type="pct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2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1256" w:type="pct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1082" w:type="pct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2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1256" w:type="pct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lastRenderedPageBreak/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1082" w:type="pct"/>
          </w:tcPr>
          <w:p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1256" w:type="pct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1082" w:type="pct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1256" w:type="pct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1082" w:type="pct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1256" w:type="pct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1082" w:type="pct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1256" w:type="pct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1082" w:type="pct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1256" w:type="pct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1082" w:type="pct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1256" w:type="pct"/>
          </w:tcPr>
          <w:p w:rsidR="0040610D" w:rsidRDefault="00AF632E" w:rsidP="00CB43DB">
            <w:pPr>
              <w:jc w:val="both"/>
            </w:pPr>
            <w:r w:rsidRPr="00AF632E">
              <w:t xml:space="preserve">в актах - результаты </w:t>
            </w:r>
            <w:r w:rsidRPr="00AF632E">
              <w:lastRenderedPageBreak/>
              <w:t>общих обследований состояния жилищного фонда, выполняемых периодически?</w:t>
            </w:r>
          </w:p>
        </w:tc>
        <w:tc>
          <w:tcPr>
            <w:tcW w:w="1082" w:type="pct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</w:t>
            </w:r>
            <w:r>
              <w:lastRenderedPageBreak/>
              <w:t xml:space="preserve">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6222A7">
        <w:tc>
          <w:tcPr>
            <w:tcW w:w="5000" w:type="pct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6222A7">
        <w:tc>
          <w:tcPr>
            <w:tcW w:w="365" w:type="pct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1256" w:type="pct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1082" w:type="pct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221" w:type="pct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6222A7">
        <w:tc>
          <w:tcPr>
            <w:tcW w:w="5000" w:type="pct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6222A7">
        <w:tc>
          <w:tcPr>
            <w:tcW w:w="365" w:type="pct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1256" w:type="pct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1082" w:type="pct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2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1256" w:type="pct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1082" w:type="pct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2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6222A7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F2" w:rsidRDefault="00D36BF2" w:rsidP="00624192">
      <w:r>
        <w:separator/>
      </w:r>
    </w:p>
  </w:endnote>
  <w:endnote w:type="continuationSeparator" w:id="0">
    <w:p w:rsidR="00D36BF2" w:rsidRDefault="00D36BF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F2" w:rsidRDefault="00D36BF2" w:rsidP="00624192">
      <w:r>
        <w:separator/>
      </w:r>
    </w:p>
  </w:footnote>
  <w:footnote w:type="continuationSeparator" w:id="0">
    <w:p w:rsidR="00D36BF2" w:rsidRDefault="00D36BF2" w:rsidP="00624192">
      <w:r>
        <w:continuationSeparator/>
      </w:r>
    </w:p>
  </w:footnote>
  <w:footnote w:id="1">
    <w:p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993B5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F7063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1FA6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F688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D2E3C"/>
    <w:rsid w:val="005E4F1F"/>
    <w:rsid w:val="005E658A"/>
    <w:rsid w:val="005F42E1"/>
    <w:rsid w:val="005F5732"/>
    <w:rsid w:val="00602D16"/>
    <w:rsid w:val="006145BE"/>
    <w:rsid w:val="00620CB2"/>
    <w:rsid w:val="006222A7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063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3B5B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3D9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13ED"/>
    <w:rsid w:val="00B624F7"/>
    <w:rsid w:val="00B71D53"/>
    <w:rsid w:val="00B72A78"/>
    <w:rsid w:val="00B72C6B"/>
    <w:rsid w:val="00B93BCC"/>
    <w:rsid w:val="00BA680C"/>
    <w:rsid w:val="00BB6A87"/>
    <w:rsid w:val="00BC237D"/>
    <w:rsid w:val="00BC77B9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A71C1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36BF2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1C1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10">
    <w:name w:val="Заголовок 1 Знак"/>
    <w:basedOn w:val="a0"/>
    <w:link w:val="1"/>
    <w:rsid w:val="00CA71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F441-1D20-4B1F-821B-AE37878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8</cp:revision>
  <cp:lastPrinted>2022-01-25T10:28:00Z</cp:lastPrinted>
  <dcterms:created xsi:type="dcterms:W3CDTF">2022-01-17T05:04:00Z</dcterms:created>
  <dcterms:modified xsi:type="dcterms:W3CDTF">2022-01-31T05:50:00Z</dcterms:modified>
</cp:coreProperties>
</file>