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1C67D827" w:rsidR="001514D6" w:rsidRPr="00786B60" w:rsidRDefault="00786B6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786B60">
        <w:rPr>
          <w:b/>
          <w:sz w:val="28"/>
          <w:szCs w:val="28"/>
        </w:rPr>
        <w:t>Малая Малышевка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77BCDB5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5AE53D0B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786B60">
        <w:rPr>
          <w:sz w:val="28"/>
          <w:szCs w:val="28"/>
        </w:rPr>
        <w:t xml:space="preserve">15 декабря </w:t>
      </w:r>
      <w:r w:rsidR="00901DAF">
        <w:rPr>
          <w:sz w:val="28"/>
          <w:szCs w:val="28"/>
        </w:rPr>
        <w:t>2022</w:t>
      </w:r>
      <w:r>
        <w:rPr>
          <w:sz w:val="28"/>
          <w:szCs w:val="28"/>
        </w:rPr>
        <w:t xml:space="preserve"> г. №</w:t>
      </w:r>
      <w:r w:rsidR="00786B60">
        <w:rPr>
          <w:sz w:val="28"/>
          <w:szCs w:val="28"/>
        </w:rPr>
        <w:t xml:space="preserve"> 161</w:t>
      </w:r>
      <w:r>
        <w:rPr>
          <w:sz w:val="28"/>
          <w:szCs w:val="28"/>
        </w:rPr>
        <w:t xml:space="preserve"> </w:t>
      </w:r>
    </w:p>
    <w:p w14:paraId="3573B16C" w14:textId="0B9DC980" w:rsidR="001514D6" w:rsidRDefault="00901DAF">
      <w:r>
        <w:t xml:space="preserve">              с. </w:t>
      </w:r>
      <w:r w:rsidR="00786B60">
        <w:t>Малая Малышевка</w:t>
      </w:r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0BFE19CE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786B60" w:rsidRPr="00786B60">
        <w:rPr>
          <w:b/>
          <w:bCs/>
          <w:spacing w:val="-6"/>
          <w:sz w:val="28"/>
          <w:szCs w:val="28"/>
        </w:rPr>
        <w:t>Малая Малышевка</w:t>
      </w:r>
      <w:r w:rsidR="00901DAF"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  <w:r w:rsidRPr="00465136">
        <w:rPr>
          <w:b/>
          <w:bCs/>
          <w:sz w:val="28"/>
          <w:szCs w:val="28"/>
        </w:rPr>
        <w:t>»</w:t>
      </w:r>
      <w:proofErr w:type="gramEnd"/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1C273C89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bookmarkStart w:id="0" w:name="_Hlk122348702"/>
      <w:r w:rsidR="00786B60" w:rsidRPr="00786B60">
        <w:rPr>
          <w:spacing w:val="-6"/>
          <w:sz w:val="28"/>
          <w:szCs w:val="28"/>
        </w:rPr>
        <w:t>Малая Малышевка</w:t>
      </w:r>
      <w:r w:rsidRPr="00786B60">
        <w:rPr>
          <w:spacing w:val="-6"/>
          <w:sz w:val="28"/>
          <w:szCs w:val="28"/>
        </w:rPr>
        <w:t xml:space="preserve"> </w:t>
      </w:r>
      <w:bookmarkEnd w:id="0"/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901DAF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072EE432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Постановление подлежит публикации в</w:t>
      </w:r>
      <w:r w:rsidRPr="00786B60">
        <w:rPr>
          <w:sz w:val="28"/>
          <w:szCs w:val="28"/>
        </w:rPr>
        <w:t xml:space="preserve"> </w:t>
      </w:r>
      <w:proofErr w:type="gramStart"/>
      <w:r w:rsidR="00786B60" w:rsidRPr="00786B60">
        <w:rPr>
          <w:sz w:val="28"/>
          <w:szCs w:val="28"/>
        </w:rPr>
        <w:t>Вестнике</w:t>
      </w:r>
      <w:r w:rsidR="00786B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="00786B60" w:rsidRPr="00786B60">
        <w:t xml:space="preserve"> </w:t>
      </w:r>
      <w:r w:rsidR="00786B60" w:rsidRPr="00786B60">
        <w:rPr>
          <w:color w:val="000000"/>
          <w:sz w:val="28"/>
          <w:szCs w:val="28"/>
        </w:rPr>
        <w:t>Мал</w:t>
      </w:r>
      <w:r w:rsidR="00786B60">
        <w:rPr>
          <w:color w:val="000000"/>
          <w:sz w:val="28"/>
          <w:szCs w:val="28"/>
        </w:rPr>
        <w:t>ой</w:t>
      </w:r>
      <w:r w:rsidR="00786B60" w:rsidRPr="00786B60">
        <w:rPr>
          <w:color w:val="000000"/>
          <w:sz w:val="28"/>
          <w:szCs w:val="28"/>
        </w:rPr>
        <w:t xml:space="preserve"> </w:t>
      </w:r>
      <w:proofErr w:type="spellStart"/>
      <w:r w:rsidR="00786B60" w:rsidRPr="00786B60">
        <w:rPr>
          <w:color w:val="000000"/>
          <w:sz w:val="28"/>
          <w:szCs w:val="28"/>
        </w:rPr>
        <w:t>Малышевк</w:t>
      </w:r>
      <w:r w:rsidR="00786B60"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7209D346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 xml:space="preserve">Контроль, за </w:t>
      </w:r>
      <w:proofErr w:type="gramStart"/>
      <w:r w:rsidRPr="00465136">
        <w:rPr>
          <w:sz w:val="28"/>
          <w:szCs w:val="28"/>
        </w:rPr>
        <w:t>исполнением  настоящего</w:t>
      </w:r>
      <w:proofErr w:type="gramEnd"/>
      <w:r w:rsidRPr="00465136">
        <w:rPr>
          <w:sz w:val="28"/>
          <w:szCs w:val="28"/>
        </w:rPr>
        <w:t xml:space="preserve"> постановления оставляю за</w:t>
      </w:r>
      <w:r>
        <w:rPr>
          <w:sz w:val="28"/>
          <w:szCs w:val="28"/>
        </w:rPr>
        <w:t xml:space="preserve">  </w:t>
      </w:r>
      <w:r w:rsidRPr="00465136">
        <w:rPr>
          <w:sz w:val="28"/>
          <w:szCs w:val="28"/>
        </w:rPr>
        <w:t xml:space="preserve">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2793A2C5" w14:textId="77777777" w:rsidR="00786B60" w:rsidRDefault="00786B60" w:rsidP="00786B60">
      <w:pPr>
        <w:spacing w:line="276" w:lineRule="auto"/>
        <w:jc w:val="both"/>
        <w:rPr>
          <w:b/>
          <w:sz w:val="28"/>
          <w:szCs w:val="28"/>
        </w:rPr>
      </w:pPr>
    </w:p>
    <w:p w14:paraId="332A9BF0" w14:textId="77777777" w:rsidR="00786B60" w:rsidRDefault="00786B60" w:rsidP="00786B60">
      <w:pPr>
        <w:spacing w:line="276" w:lineRule="auto"/>
        <w:jc w:val="both"/>
        <w:rPr>
          <w:b/>
          <w:sz w:val="28"/>
          <w:szCs w:val="28"/>
        </w:rPr>
      </w:pPr>
    </w:p>
    <w:p w14:paraId="5D17BE05" w14:textId="65D839B4" w:rsidR="00786B60" w:rsidRPr="002A2FD3" w:rsidRDefault="00786B60" w:rsidP="00786B60">
      <w:pPr>
        <w:spacing w:line="276" w:lineRule="auto"/>
        <w:jc w:val="both"/>
        <w:rPr>
          <w:b/>
          <w:sz w:val="28"/>
          <w:szCs w:val="28"/>
        </w:rPr>
      </w:pPr>
      <w:r w:rsidRPr="002A2FD3">
        <w:rPr>
          <w:b/>
          <w:sz w:val="28"/>
          <w:szCs w:val="28"/>
        </w:rPr>
        <w:t>Глава сельского поселения Малая Малышевка</w:t>
      </w:r>
    </w:p>
    <w:p w14:paraId="72E19D08" w14:textId="77777777" w:rsidR="00786B60" w:rsidRPr="002A2FD3" w:rsidRDefault="00786B60" w:rsidP="00786B60">
      <w:pPr>
        <w:spacing w:line="276" w:lineRule="auto"/>
        <w:jc w:val="both"/>
        <w:rPr>
          <w:b/>
          <w:sz w:val="28"/>
          <w:szCs w:val="28"/>
        </w:rPr>
      </w:pPr>
      <w:r w:rsidRPr="002A2FD3">
        <w:rPr>
          <w:b/>
          <w:sz w:val="28"/>
          <w:szCs w:val="28"/>
        </w:rPr>
        <w:t xml:space="preserve">Муниципального района Кинельский </w:t>
      </w:r>
    </w:p>
    <w:p w14:paraId="5452263B" w14:textId="77777777" w:rsidR="00786B60" w:rsidRPr="002A2FD3" w:rsidRDefault="00786B60" w:rsidP="00786B60">
      <w:pPr>
        <w:spacing w:line="276" w:lineRule="auto"/>
        <w:jc w:val="both"/>
        <w:rPr>
          <w:b/>
          <w:sz w:val="28"/>
          <w:szCs w:val="28"/>
        </w:rPr>
      </w:pPr>
      <w:r w:rsidRPr="002A2FD3">
        <w:rPr>
          <w:b/>
          <w:sz w:val="28"/>
          <w:szCs w:val="28"/>
        </w:rPr>
        <w:t>Самарской области                                                                       С.В. Курапов</w:t>
      </w: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07FA3AAA" w:rsidR="00465136" w:rsidRPr="00786B60" w:rsidRDefault="00465136" w:rsidP="00786B60">
      <w:pPr>
        <w:spacing w:line="360" w:lineRule="auto"/>
        <w:jc w:val="both"/>
        <w:rPr>
          <w:sz w:val="28"/>
          <w:szCs w:val="28"/>
        </w:rPr>
      </w:pPr>
    </w:p>
    <w:p w14:paraId="25A9509E" w14:textId="04AD0F19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25B6D73C" w:rsidR="009F3B30" w:rsidRDefault="00465136" w:rsidP="006624FA">
            <w:pPr>
              <w:ind w:firstLine="680"/>
              <w:jc w:val="center"/>
            </w:pPr>
            <w:proofErr w:type="gramStart"/>
            <w:r w:rsidRPr="00465136">
              <w:t>администрации  сельского</w:t>
            </w:r>
            <w:proofErr w:type="gramEnd"/>
            <w:r w:rsidRPr="00465136">
              <w:t xml:space="preserve"> поселения </w:t>
            </w:r>
            <w:r w:rsidR="00786B60" w:rsidRPr="00786B60">
              <w:t>Малая Малышевка</w:t>
            </w:r>
            <w:r w:rsidRPr="00786B60"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036F2B85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786B60">
              <w:t>15.12.</w:t>
            </w:r>
            <w:r w:rsidR="00901DAF">
              <w:t>2022</w:t>
            </w:r>
            <w:r w:rsidR="009F3B30">
              <w:t xml:space="preserve"> г.</w:t>
            </w:r>
            <w:r w:rsidRPr="00465136">
              <w:t xml:space="preserve"> № </w:t>
            </w:r>
            <w:r w:rsidR="00786B60">
              <w:t>161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4E05D0FA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1" w:name="P31"/>
      <w:bookmarkEnd w:id="1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786B60">
        <w:rPr>
          <w:b/>
          <w:bCs/>
          <w:spacing w:val="-6"/>
          <w:sz w:val="28"/>
          <w:szCs w:val="28"/>
        </w:rPr>
        <w:t>поселения</w:t>
      </w:r>
      <w:r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="00786B60" w:rsidRPr="00786B60">
        <w:rPr>
          <w:b/>
          <w:bCs/>
          <w:sz w:val="28"/>
          <w:szCs w:val="28"/>
        </w:rPr>
        <w:t>Малая Малышевка</w:t>
      </w:r>
      <w:r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6E0687C0" w:rsidR="00AA6169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06AAEADF"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14:paraId="688BB842" w14:textId="34A94BE9"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E8ED2D2"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5B4CA861"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14:paraId="299AE61B" w14:textId="5DF9F356"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14:paraId="43670D84" w14:textId="22D1AA76"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14:paraId="1FF012E9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>требований  и</w:t>
      </w:r>
      <w:proofErr w:type="gramEnd"/>
      <w:r w:rsidRPr="0054225A">
        <w:rPr>
          <w:rFonts w:ascii="Times New Roman" w:hAnsi="Times New Roman" w:cs="Times New Roman"/>
          <w:sz w:val="28"/>
          <w:szCs w:val="28"/>
        </w:rPr>
        <w:t xml:space="preserve"> требований установленных  муниципальными правовыми актами ;</w:t>
      </w:r>
    </w:p>
    <w:p w14:paraId="5812468A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эффективности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организациями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района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>,  гражданами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установленных муниципальными правовыми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6847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043A0A4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1"/>
        <w:gridCol w:w="2649"/>
        <w:gridCol w:w="3117"/>
        <w:gridCol w:w="1990"/>
        <w:gridCol w:w="1938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912075B" w14:textId="476B0BE1"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м.р</w:t>
            </w:r>
            <w:proofErr w:type="spellEnd"/>
            <w:r w:rsidR="00367942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</w:t>
            </w:r>
            <w:r>
              <w:rPr>
                <w:color w:val="000000"/>
                <w:lang w:eastAsia="en-US"/>
              </w:rPr>
              <w:lastRenderedPageBreak/>
              <w:t xml:space="preserve">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>
              <w:rPr>
                <w:color w:val="000000"/>
                <w:lang w:eastAsia="en-US"/>
              </w:rPr>
              <w:lastRenderedPageBreak/>
              <w:t>осуществляется в рамках 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73606" w14:textId="51D2A967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r w:rsidR="00786B60" w:rsidRPr="00786B60">
              <w:t xml:space="preserve">Малая Малышевка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0652E9A4" w:rsidR="005D0DAD" w:rsidRPr="003604EA" w:rsidRDefault="00163C0F" w:rsidP="006624FA">
            <w:pPr>
              <w:rPr>
                <w:color w:val="FF0000"/>
                <w:lang w:eastAsia="en-US"/>
              </w:rPr>
            </w:pPr>
            <w:r w:rsidRPr="00786B60">
              <w:rPr>
                <w:lang w:eastAsia="en-US"/>
              </w:rPr>
              <w:t xml:space="preserve">Глава </w:t>
            </w:r>
            <w:proofErr w:type="spellStart"/>
            <w:r w:rsidRPr="00786B60">
              <w:rPr>
                <w:lang w:eastAsia="en-US"/>
              </w:rPr>
              <w:t>с.п</w:t>
            </w:r>
            <w:proofErr w:type="spellEnd"/>
            <w:r w:rsidRPr="003604EA">
              <w:rPr>
                <w:color w:val="FF0000"/>
                <w:lang w:eastAsia="en-US"/>
              </w:rPr>
              <w:t xml:space="preserve">. </w:t>
            </w:r>
            <w:r w:rsidR="00786B60" w:rsidRPr="00786B60">
              <w:t>Малая Малышевка</w:t>
            </w:r>
          </w:p>
          <w:p w14:paraId="6197EA8A" w14:textId="7281B26C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02BD9839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в разделе </w:t>
            </w:r>
            <w:r>
              <w:rPr>
                <w:color w:val="000000"/>
                <w:lang w:eastAsia="en-US"/>
              </w:rPr>
              <w:lastRenderedPageBreak/>
              <w:t>«Контрольно-надзорная деятельность»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м.р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Кинельский Самарской области ; главой </w:t>
            </w:r>
            <w:proofErr w:type="spellStart"/>
            <w:r w:rsidR="00163C0F">
              <w:rPr>
                <w:color w:val="000000"/>
                <w:lang w:eastAsia="en-US"/>
              </w:rPr>
              <w:t>с.п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</w:t>
            </w:r>
            <w:r w:rsidR="00786B60" w:rsidRPr="00786B60">
              <w:t>Малая Малышевка</w:t>
            </w:r>
            <w:r w:rsidR="00163C0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lastRenderedPageBreak/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отдела муниципального контроля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1E257C81" w:rsidR="005D0DAD" w:rsidRDefault="00163C0F" w:rsidP="006624FA">
            <w:pPr>
              <w:rPr>
                <w:color w:val="000000" w:themeColor="text1"/>
                <w:lang w:eastAsia="en-US"/>
              </w:rPr>
            </w:pPr>
            <w:r w:rsidRPr="00786B60">
              <w:rPr>
                <w:lang w:eastAsia="en-US"/>
              </w:rPr>
              <w:t xml:space="preserve">Глава </w:t>
            </w:r>
            <w:proofErr w:type="spellStart"/>
            <w:r w:rsidRPr="00786B60">
              <w:rPr>
                <w:lang w:eastAsia="en-US"/>
              </w:rPr>
              <w:t>с.п</w:t>
            </w:r>
            <w:proofErr w:type="spellEnd"/>
            <w:r w:rsidRPr="00786B60">
              <w:rPr>
                <w:lang w:eastAsia="en-US"/>
              </w:rPr>
              <w:t xml:space="preserve"> </w:t>
            </w:r>
            <w:r w:rsidR="00786B60" w:rsidRPr="00786B60">
              <w:t>Малая Малышевка</w:t>
            </w:r>
            <w:r>
              <w:rPr>
                <w:color w:val="000000" w:themeColor="text1"/>
                <w:lang w:eastAsia="en-US"/>
              </w:rPr>
              <w:t>,</w:t>
            </w:r>
          </w:p>
          <w:p w14:paraId="4EBA5D77" w14:textId="3AA2049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</w:t>
            </w:r>
            <w:r>
              <w:rPr>
                <w:lang w:eastAsia="en-US"/>
              </w:rPr>
              <w:lastRenderedPageBreak/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5A88472" w14:textId="77777777"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 w:rsidSect="00786B60">
      <w:pgSz w:w="11906" w:h="16838"/>
      <w:pgMar w:top="1560" w:right="851" w:bottom="127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6E73" w14:textId="77777777" w:rsidR="00826634" w:rsidRDefault="00826634" w:rsidP="00B2477B">
      <w:r>
        <w:separator/>
      </w:r>
    </w:p>
  </w:endnote>
  <w:endnote w:type="continuationSeparator" w:id="0">
    <w:p w14:paraId="1212E3B1" w14:textId="77777777" w:rsidR="00826634" w:rsidRDefault="00826634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D8F0" w14:textId="77777777" w:rsidR="00826634" w:rsidRDefault="00826634" w:rsidP="00B2477B">
      <w:r>
        <w:separator/>
      </w:r>
    </w:p>
  </w:footnote>
  <w:footnote w:type="continuationSeparator" w:id="0">
    <w:p w14:paraId="52868349" w14:textId="77777777" w:rsidR="00826634" w:rsidRDefault="00826634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16CCB"/>
    <w:rsid w:val="000C392B"/>
    <w:rsid w:val="000C4688"/>
    <w:rsid w:val="001514D6"/>
    <w:rsid w:val="00152468"/>
    <w:rsid w:val="00163C0F"/>
    <w:rsid w:val="001955BB"/>
    <w:rsid w:val="0019744F"/>
    <w:rsid w:val="001D7094"/>
    <w:rsid w:val="002D6247"/>
    <w:rsid w:val="003228A5"/>
    <w:rsid w:val="0034260A"/>
    <w:rsid w:val="003436FB"/>
    <w:rsid w:val="003604EA"/>
    <w:rsid w:val="00367942"/>
    <w:rsid w:val="00415E83"/>
    <w:rsid w:val="00465136"/>
    <w:rsid w:val="004D4198"/>
    <w:rsid w:val="004F5FDE"/>
    <w:rsid w:val="005A68A4"/>
    <w:rsid w:val="005D0DAD"/>
    <w:rsid w:val="00622F55"/>
    <w:rsid w:val="006614D4"/>
    <w:rsid w:val="00680604"/>
    <w:rsid w:val="006B74E0"/>
    <w:rsid w:val="00734C9F"/>
    <w:rsid w:val="00785DAC"/>
    <w:rsid w:val="00786B60"/>
    <w:rsid w:val="00790F59"/>
    <w:rsid w:val="007C6D15"/>
    <w:rsid w:val="00826634"/>
    <w:rsid w:val="008322E1"/>
    <w:rsid w:val="00832EF9"/>
    <w:rsid w:val="00901DAF"/>
    <w:rsid w:val="00907107"/>
    <w:rsid w:val="009363A2"/>
    <w:rsid w:val="00940900"/>
    <w:rsid w:val="009F3B30"/>
    <w:rsid w:val="00AA6169"/>
    <w:rsid w:val="00B2477B"/>
    <w:rsid w:val="00B5118C"/>
    <w:rsid w:val="00C528BE"/>
    <w:rsid w:val="00EA5276"/>
    <w:rsid w:val="00FD01FA"/>
    <w:rsid w:val="00FD7D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8F70BA69-5CD3-4C04-8FB9-8088F8B1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7960-C18B-4562-AF47-26B98DC6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User</cp:lastModifiedBy>
  <cp:revision>2</cp:revision>
  <cp:lastPrinted>2021-09-27T11:29:00Z</cp:lastPrinted>
  <dcterms:created xsi:type="dcterms:W3CDTF">2022-12-19T11:53:00Z</dcterms:created>
  <dcterms:modified xsi:type="dcterms:W3CDTF">2022-12-19T11:53:00Z</dcterms:modified>
  <dc:language>ru-RU</dc:language>
</cp:coreProperties>
</file>