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B87735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  30.10.</w:t>
      </w:r>
      <w:r w:rsidR="00E27769">
        <w:rPr>
          <w:sz w:val="28"/>
          <w:szCs w:val="28"/>
        </w:rPr>
        <w:t>2023</w:t>
      </w:r>
      <w:proofErr w:type="gramEnd"/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№ </w:t>
      </w:r>
      <w:r w:rsidRPr="00B87735">
        <w:rPr>
          <w:sz w:val="28"/>
          <w:szCs w:val="28"/>
          <w:u w:val="single"/>
        </w:rPr>
        <w:t>1933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B87735" w:rsidP="00AF5AB8">
      <w:pPr>
        <w:spacing w:line="480" w:lineRule="auto"/>
        <w:jc w:val="right"/>
      </w:pPr>
      <w:r>
        <w:t xml:space="preserve"> № 1933 от 30.10.</w:t>
      </w:r>
      <w:bookmarkStart w:id="0" w:name="_GoBack"/>
      <w:bookmarkEnd w:id="0"/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87417E" w:rsidRPr="00DA1A1D">
        <w:rPr>
          <w:rFonts w:eastAsia="Lucida Sans Unicode"/>
          <w:sz w:val="28"/>
          <w:szCs w:val="28"/>
          <w:lang w:bidi="en-US"/>
        </w:rPr>
        <w:t>464 333,7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87417E">
        <w:rPr>
          <w:color w:val="000000"/>
          <w:sz w:val="28"/>
          <w:szCs w:val="28"/>
          <w:lang w:eastAsia="ru-RU"/>
        </w:rPr>
        <w:t>86 357,5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7417E">
        <w:rPr>
          <w:color w:val="000000"/>
          <w:sz w:val="28"/>
          <w:szCs w:val="28"/>
          <w:lang w:eastAsia="ru-RU"/>
        </w:rPr>
        <w:t>41 9</w:t>
      </w:r>
      <w:r>
        <w:rPr>
          <w:color w:val="000000"/>
          <w:sz w:val="28"/>
          <w:szCs w:val="28"/>
          <w:lang w:eastAsia="ru-RU"/>
        </w:rPr>
        <w:t>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>
        <w:rPr>
          <w:color w:val="000000"/>
          <w:sz w:val="28"/>
          <w:szCs w:val="28"/>
          <w:lang w:eastAsia="ru-RU"/>
        </w:rPr>
        <w:t>43 984,6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P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46</w:t>
      </w:r>
      <w:r w:rsidR="0087417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4 333,7</w:t>
      </w:r>
      <w:r w:rsid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874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86 357,5</w:t>
      </w:r>
      <w:r w:rsidR="008D073F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7417E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41 9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78,5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43 984,6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- в строке 1 «</w:t>
      </w:r>
      <w:r w:rsidRPr="00A369DE">
        <w:rPr>
          <w:sz w:val="28"/>
          <w:szCs w:val="28"/>
        </w:rPr>
        <w:t xml:space="preserve">Предоставление субсидий </w:t>
      </w:r>
      <w:r w:rsidRPr="00A369DE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</w:t>
      </w:r>
      <w:r>
        <w:rPr>
          <w:rFonts w:eastAsia="Arial CYR" w:cs="Arial CYR"/>
          <w:sz w:val="28"/>
          <w:szCs w:val="28"/>
        </w:rPr>
        <w:t>» сумму на 2023 год «</w:t>
      </w:r>
      <w:r w:rsidR="00FD29C4">
        <w:rPr>
          <w:rFonts w:eastAsia="Arial CYR" w:cs="Arial CYR"/>
          <w:sz w:val="28"/>
          <w:szCs w:val="28"/>
        </w:rPr>
        <w:t>48 743,7</w:t>
      </w:r>
      <w:r w:rsidR="00DA1A1D">
        <w:rPr>
          <w:rFonts w:eastAsia="Arial CYR" w:cs="Arial CYR"/>
          <w:sz w:val="28"/>
          <w:szCs w:val="28"/>
        </w:rPr>
        <w:t>» заменить суммой «48 750,2</w:t>
      </w:r>
      <w:r w:rsidR="00471844">
        <w:rPr>
          <w:rFonts w:eastAsia="Arial CYR" w:cs="Arial CYR"/>
          <w:sz w:val="28"/>
          <w:szCs w:val="28"/>
        </w:rPr>
        <w:t>»</w:t>
      </w:r>
      <w:r w:rsidR="004A6D1D">
        <w:rPr>
          <w:rFonts w:eastAsia="Arial CYR" w:cs="Arial CYR"/>
          <w:sz w:val="28"/>
          <w:szCs w:val="28"/>
        </w:rPr>
        <w:t xml:space="preserve">, </w:t>
      </w:r>
      <w:r w:rsidR="00DA1A1D">
        <w:rPr>
          <w:rFonts w:eastAsia="Arial CYR" w:cs="Arial CYR"/>
          <w:sz w:val="28"/>
          <w:szCs w:val="28"/>
        </w:rPr>
        <w:t xml:space="preserve">сумму на 2024 год «24 652,1» заменить суммой «20752,1», </w:t>
      </w:r>
      <w:r w:rsidR="004A6D1D">
        <w:rPr>
          <w:rFonts w:eastAsia="Arial CYR" w:cs="Arial CYR"/>
          <w:sz w:val="28"/>
          <w:szCs w:val="28"/>
        </w:rPr>
        <w:t>итоговую сумму «</w:t>
      </w:r>
      <w:r w:rsidR="00DA1A1D">
        <w:rPr>
          <w:rFonts w:eastAsia="Arial CYR" w:cs="Arial CYR"/>
          <w:sz w:val="28"/>
          <w:szCs w:val="28"/>
        </w:rPr>
        <w:t>264 000,6</w:t>
      </w:r>
      <w:r w:rsidR="004A6D1D">
        <w:rPr>
          <w:rFonts w:eastAsia="Arial CYR" w:cs="Arial CYR"/>
          <w:sz w:val="28"/>
          <w:szCs w:val="28"/>
        </w:rPr>
        <w:t>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DA1A1D">
        <w:rPr>
          <w:rFonts w:eastAsia="Arial CYR" w:cs="Arial CYR"/>
          <w:sz w:val="28"/>
          <w:szCs w:val="28"/>
        </w:rPr>
        <w:t>заменить суммой «260 107,1</w:t>
      </w:r>
      <w:r w:rsidR="004A6D1D">
        <w:rPr>
          <w:rFonts w:eastAsia="Arial CYR" w:cs="Arial CYR"/>
          <w:sz w:val="28"/>
          <w:szCs w:val="28"/>
        </w:rPr>
        <w:t>»;</w:t>
      </w:r>
    </w:p>
    <w:p w:rsidR="004A6D1D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строке 5 «Итого по всем задачам» сумму на 2023 год «</w:t>
      </w:r>
      <w:r w:rsidR="00DA1A1D">
        <w:rPr>
          <w:rFonts w:eastAsia="Arial CYR" w:cs="Arial CYR"/>
          <w:sz w:val="28"/>
          <w:szCs w:val="28"/>
        </w:rPr>
        <w:t>86 351,0</w:t>
      </w:r>
      <w:r>
        <w:rPr>
          <w:rFonts w:eastAsia="Arial CYR" w:cs="Arial CYR"/>
          <w:sz w:val="28"/>
          <w:szCs w:val="28"/>
        </w:rPr>
        <w:t xml:space="preserve">» заменить </w:t>
      </w:r>
      <w:r w:rsidR="00DA1A1D">
        <w:rPr>
          <w:rFonts w:eastAsia="Arial CYR" w:cs="Arial CYR"/>
          <w:sz w:val="28"/>
          <w:szCs w:val="28"/>
        </w:rPr>
        <w:t>суммой «86 357,5</w:t>
      </w:r>
      <w:r>
        <w:rPr>
          <w:rFonts w:eastAsia="Arial CYR" w:cs="Arial CYR"/>
          <w:sz w:val="28"/>
          <w:szCs w:val="28"/>
        </w:rPr>
        <w:t xml:space="preserve">», </w:t>
      </w:r>
      <w:r w:rsidR="00DA1A1D">
        <w:rPr>
          <w:rFonts w:eastAsia="Arial CYR" w:cs="Arial CYR"/>
          <w:sz w:val="28"/>
          <w:szCs w:val="28"/>
        </w:rPr>
        <w:t xml:space="preserve">сумму на 2024 год «45 878,5» заменить суммой «41 978,5», </w:t>
      </w:r>
      <w:r w:rsidR="004A6D1D">
        <w:rPr>
          <w:rFonts w:eastAsia="Arial CYR" w:cs="Arial CYR"/>
          <w:sz w:val="28"/>
          <w:szCs w:val="28"/>
        </w:rPr>
        <w:t>итоговую сумму «</w:t>
      </w:r>
      <w:r w:rsidR="00DA1A1D">
        <w:rPr>
          <w:rFonts w:eastAsia="Arial CYR" w:cs="Arial CYR"/>
          <w:sz w:val="28"/>
          <w:szCs w:val="28"/>
        </w:rPr>
        <w:t>468 227,2</w:t>
      </w:r>
      <w:r w:rsidR="004A6D1D">
        <w:rPr>
          <w:rFonts w:eastAsia="Arial CYR" w:cs="Arial CYR"/>
          <w:sz w:val="28"/>
          <w:szCs w:val="28"/>
        </w:rPr>
        <w:t>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6D5ACD">
        <w:rPr>
          <w:rFonts w:eastAsia="Arial CYR" w:cs="Arial CYR"/>
          <w:sz w:val="28"/>
          <w:szCs w:val="28"/>
        </w:rPr>
        <w:t xml:space="preserve">заменить </w:t>
      </w:r>
      <w:r w:rsidR="00DA1A1D">
        <w:rPr>
          <w:rFonts w:eastAsia="Arial CYR" w:cs="Arial CYR"/>
          <w:sz w:val="28"/>
          <w:szCs w:val="28"/>
        </w:rPr>
        <w:t>суммой «464 333,7</w:t>
      </w:r>
      <w:r w:rsidR="004A6D1D">
        <w:rPr>
          <w:rFonts w:eastAsia="Arial CYR" w:cs="Arial CYR"/>
          <w:sz w:val="28"/>
          <w:szCs w:val="28"/>
        </w:rPr>
        <w:t>»</w:t>
      </w:r>
      <w:r w:rsidR="00DA1A1D">
        <w:rPr>
          <w:rFonts w:eastAsia="Arial CYR" w:cs="Arial CYR"/>
          <w:sz w:val="28"/>
          <w:szCs w:val="28"/>
        </w:rPr>
        <w:t>.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29" w:rsidRDefault="00E96929">
      <w:r>
        <w:separator/>
      </w:r>
    </w:p>
  </w:endnote>
  <w:endnote w:type="continuationSeparator" w:id="0">
    <w:p w:rsidR="00E96929" w:rsidRDefault="00E9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29" w:rsidRDefault="00E96929">
      <w:r>
        <w:separator/>
      </w:r>
    </w:p>
  </w:footnote>
  <w:footnote w:type="continuationSeparator" w:id="0">
    <w:p w:rsidR="00E96929" w:rsidRDefault="00E9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76C09"/>
    <w:rsid w:val="0009268C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74B87"/>
    <w:rsid w:val="00397D70"/>
    <w:rsid w:val="003D6F0E"/>
    <w:rsid w:val="003F37DE"/>
    <w:rsid w:val="00406C09"/>
    <w:rsid w:val="0041504D"/>
    <w:rsid w:val="00457BC8"/>
    <w:rsid w:val="004642C1"/>
    <w:rsid w:val="00471844"/>
    <w:rsid w:val="00474DEA"/>
    <w:rsid w:val="00490246"/>
    <w:rsid w:val="004A4C33"/>
    <w:rsid w:val="004A6D1D"/>
    <w:rsid w:val="004B7912"/>
    <w:rsid w:val="004D2A0A"/>
    <w:rsid w:val="004E42CD"/>
    <w:rsid w:val="00511D61"/>
    <w:rsid w:val="0051205B"/>
    <w:rsid w:val="005175E0"/>
    <w:rsid w:val="00546962"/>
    <w:rsid w:val="00582A60"/>
    <w:rsid w:val="005B1514"/>
    <w:rsid w:val="005D4CF6"/>
    <w:rsid w:val="005F2268"/>
    <w:rsid w:val="006003DB"/>
    <w:rsid w:val="00601451"/>
    <w:rsid w:val="00637572"/>
    <w:rsid w:val="006466A0"/>
    <w:rsid w:val="006532E3"/>
    <w:rsid w:val="0066343C"/>
    <w:rsid w:val="006B45C1"/>
    <w:rsid w:val="006D5ACD"/>
    <w:rsid w:val="00714897"/>
    <w:rsid w:val="0072682F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D073F"/>
    <w:rsid w:val="008F70D5"/>
    <w:rsid w:val="00902314"/>
    <w:rsid w:val="00915939"/>
    <w:rsid w:val="00920CAE"/>
    <w:rsid w:val="00923FD8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F5AB8"/>
    <w:rsid w:val="00B0067F"/>
    <w:rsid w:val="00B030E6"/>
    <w:rsid w:val="00B047ED"/>
    <w:rsid w:val="00B70A6E"/>
    <w:rsid w:val="00B87735"/>
    <w:rsid w:val="00BA6EAB"/>
    <w:rsid w:val="00BB34BB"/>
    <w:rsid w:val="00BB4F8C"/>
    <w:rsid w:val="00BC3257"/>
    <w:rsid w:val="00BC7E46"/>
    <w:rsid w:val="00C24053"/>
    <w:rsid w:val="00C41EA3"/>
    <w:rsid w:val="00C44469"/>
    <w:rsid w:val="00C57204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A1A1D"/>
    <w:rsid w:val="00DD4F72"/>
    <w:rsid w:val="00DF6ED0"/>
    <w:rsid w:val="00E2387B"/>
    <w:rsid w:val="00E27769"/>
    <w:rsid w:val="00E578F7"/>
    <w:rsid w:val="00E96929"/>
    <w:rsid w:val="00EA0DAF"/>
    <w:rsid w:val="00EA5AE4"/>
    <w:rsid w:val="00EA5E2E"/>
    <w:rsid w:val="00EC4B20"/>
    <w:rsid w:val="00F1569D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45E1378-ED3C-4D1E-A3C4-045E56FC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39</cp:revision>
  <cp:lastPrinted>2023-10-26T12:36:00Z</cp:lastPrinted>
  <dcterms:created xsi:type="dcterms:W3CDTF">2022-12-08T04:55:00Z</dcterms:created>
  <dcterms:modified xsi:type="dcterms:W3CDTF">2023-11-01T08:02:00Z</dcterms:modified>
  <dc:language>en-US</dc:language>
</cp:coreProperties>
</file>