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FA0" w:rsidRDefault="00672FA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672FA0" w:rsidRDefault="00672FA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672FA0" w:rsidRDefault="00672FA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672FA0" w:rsidRDefault="00672FA0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672FA0" w:rsidRDefault="00672FA0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672FA0" w:rsidRDefault="00672FA0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672FA0" w:rsidRPr="00BA2D88" w:rsidRDefault="00672FA0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56411">
                              <w:rPr>
                                <w:sz w:val="28"/>
                                <w:szCs w:val="28"/>
                                <w:u w:val="single"/>
                              </w:rPr>
                              <w:t>26.12.2022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56411" w:rsidRPr="00F67DDE">
                              <w:rPr>
                                <w:sz w:val="28"/>
                                <w:szCs w:val="28"/>
                                <w:u w:val="single"/>
                              </w:rPr>
                              <w:t>1993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672FA0" w:rsidRPr="005669C2" w:rsidRDefault="00672FA0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672FA0" w:rsidRDefault="00672FA0" w:rsidP="00E356CD">
                            <w:pPr>
                              <w:jc w:val="center"/>
                            </w:pPr>
                          </w:p>
                          <w:p w:rsidR="00672FA0" w:rsidRDefault="00672FA0" w:rsidP="00E356CD">
                            <w:pPr>
                              <w:jc w:val="center"/>
                            </w:pPr>
                          </w:p>
                          <w:p w:rsidR="00672FA0" w:rsidRDefault="00672FA0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672FA0" w:rsidRDefault="00672FA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672FA0" w:rsidRDefault="00672FA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672FA0" w:rsidRDefault="00672FA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672FA0" w:rsidRDefault="00672FA0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672FA0" w:rsidRDefault="00672FA0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672FA0" w:rsidRDefault="00672FA0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672FA0" w:rsidRPr="00BA2D88" w:rsidRDefault="00672FA0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56411">
                        <w:rPr>
                          <w:sz w:val="28"/>
                          <w:szCs w:val="28"/>
                          <w:u w:val="single"/>
                        </w:rPr>
                        <w:t>26.12.2022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56411" w:rsidRPr="00F67DDE">
                        <w:rPr>
                          <w:sz w:val="28"/>
                          <w:szCs w:val="28"/>
                          <w:u w:val="single"/>
                        </w:rPr>
                        <w:t>1993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672FA0" w:rsidRPr="005669C2" w:rsidRDefault="00672FA0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672FA0" w:rsidRDefault="00672FA0" w:rsidP="00E356CD">
                      <w:pPr>
                        <w:jc w:val="center"/>
                      </w:pPr>
                    </w:p>
                    <w:p w:rsidR="00672FA0" w:rsidRDefault="00672FA0" w:rsidP="00E356CD">
                      <w:pPr>
                        <w:jc w:val="center"/>
                      </w:pPr>
                    </w:p>
                    <w:p w:rsidR="00672FA0" w:rsidRDefault="00672FA0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6E4D11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2322D8" w:rsidRPr="009212DA" w:rsidTr="009212DA">
        <w:tc>
          <w:tcPr>
            <w:tcW w:w="6062" w:type="dxa"/>
            <w:shd w:val="clear" w:color="auto" w:fill="auto"/>
          </w:tcPr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 xml:space="preserve">«Об </w:t>
            </w:r>
            <w:r w:rsidR="000D7089">
              <w:rPr>
                <w:b/>
                <w:sz w:val="28"/>
              </w:rPr>
              <w:t xml:space="preserve">утверждении тарифов на услуги, оказываемые </w:t>
            </w:r>
            <w:r w:rsidRPr="009212DA">
              <w:rPr>
                <w:b/>
                <w:sz w:val="28"/>
              </w:rPr>
              <w:t>муниципаль</w:t>
            </w:r>
            <w:r w:rsidR="000D7089">
              <w:rPr>
                <w:b/>
                <w:sz w:val="28"/>
              </w:rPr>
              <w:t xml:space="preserve">ным бюджетным    учреждением </w:t>
            </w:r>
            <w:r w:rsidRPr="009212DA">
              <w:rPr>
                <w:b/>
                <w:sz w:val="28"/>
              </w:rPr>
              <w:t>муниципального</w:t>
            </w:r>
            <w:r w:rsidR="007E42DC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 xml:space="preserve">района Кинельский «Многофункциональный центр предоставления </w:t>
            </w:r>
            <w:r w:rsidR="000D7089">
              <w:rPr>
                <w:b/>
                <w:sz w:val="28"/>
              </w:rPr>
              <w:t>государственных и муниципальных</w:t>
            </w:r>
            <w:r w:rsidRPr="009212DA">
              <w:rPr>
                <w:b/>
                <w:sz w:val="28"/>
              </w:rPr>
              <w:t xml:space="preserve"> услуг»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 xml:space="preserve">федеральным законом РФ от 06.02.2003 г. № 131-ФЗ 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</w:t>
      </w:r>
      <w:proofErr w:type="gramEnd"/>
      <w:r w:rsidRPr="00852C10">
        <w:rPr>
          <w:sz w:val="28"/>
          <w:szCs w:val="28"/>
        </w:rPr>
        <w:t xml:space="preserve"> муниципальными предприятиями и учреждениями</w:t>
      </w:r>
      <w:r>
        <w:rPr>
          <w:sz w:val="28"/>
        </w:rPr>
        <w:t xml:space="preserve"> муниципального района Кинельский», </w:t>
      </w:r>
      <w:proofErr w:type="gramStart"/>
      <w:r>
        <w:rPr>
          <w:sz w:val="28"/>
        </w:rPr>
        <w:t>утвержденных</w:t>
      </w:r>
      <w:proofErr w:type="gramEnd"/>
      <w:r>
        <w:rPr>
          <w:sz w:val="28"/>
        </w:rPr>
        <w:t xml:space="preserve"> постановлением администрации муниципального района Кинельск</w:t>
      </w:r>
      <w:r w:rsidR="00CE7562">
        <w:rPr>
          <w:sz w:val="28"/>
        </w:rPr>
        <w:t xml:space="preserve">ий от 12.05.2015 г. № 826, </w:t>
      </w:r>
      <w:r w:rsidR="00E356CD">
        <w:rPr>
          <w:sz w:val="28"/>
          <w:szCs w:val="28"/>
        </w:rPr>
        <w:t xml:space="preserve">руководствуясь протоколом заседания тарифной </w:t>
      </w:r>
      <w:r w:rsidR="000D7089">
        <w:rPr>
          <w:sz w:val="28"/>
          <w:szCs w:val="28"/>
        </w:rPr>
        <w:t>комиссии от</w:t>
      </w:r>
      <w:r w:rsidR="00E356CD" w:rsidRPr="006D21E3">
        <w:rPr>
          <w:sz w:val="28"/>
          <w:szCs w:val="28"/>
        </w:rPr>
        <w:t xml:space="preserve"> </w:t>
      </w:r>
      <w:r w:rsidR="00F55EC5" w:rsidRPr="00AB56E3">
        <w:rPr>
          <w:sz w:val="28"/>
          <w:szCs w:val="28"/>
        </w:rPr>
        <w:t>1</w:t>
      </w:r>
      <w:r w:rsidR="004D22DB">
        <w:rPr>
          <w:sz w:val="28"/>
          <w:szCs w:val="28"/>
        </w:rPr>
        <w:t>6</w:t>
      </w:r>
      <w:r w:rsidR="00CE7562" w:rsidRPr="00AB56E3">
        <w:rPr>
          <w:sz w:val="28"/>
          <w:szCs w:val="28"/>
        </w:rPr>
        <w:t>.12.20</w:t>
      </w:r>
      <w:r w:rsidR="00F55EC5" w:rsidRPr="00AB56E3">
        <w:rPr>
          <w:sz w:val="28"/>
          <w:szCs w:val="28"/>
        </w:rPr>
        <w:t>2</w:t>
      </w:r>
      <w:r w:rsidR="004D22DB">
        <w:rPr>
          <w:sz w:val="28"/>
          <w:szCs w:val="28"/>
        </w:rPr>
        <w:t>2</w:t>
      </w:r>
      <w:r w:rsidR="00E356CD" w:rsidRPr="00AB56E3">
        <w:rPr>
          <w:sz w:val="28"/>
          <w:szCs w:val="28"/>
        </w:rPr>
        <w:t xml:space="preserve"> г. № </w:t>
      </w:r>
      <w:r w:rsidR="004D22DB">
        <w:rPr>
          <w:sz w:val="28"/>
          <w:szCs w:val="28"/>
        </w:rPr>
        <w:t>6</w:t>
      </w:r>
      <w:r w:rsidR="00E356CD" w:rsidRPr="006D21E3">
        <w:rPr>
          <w:sz w:val="28"/>
          <w:szCs w:val="28"/>
        </w:rPr>
        <w:t>,</w:t>
      </w:r>
      <w:r w:rsidR="00E356CD">
        <w:rPr>
          <w:sz w:val="28"/>
          <w:szCs w:val="28"/>
        </w:rPr>
        <w:t xml:space="preserve"> 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8E019F" w:rsidP="008E019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BA1" w:rsidRPr="00EB7BA1">
        <w:rPr>
          <w:sz w:val="28"/>
          <w:szCs w:val="28"/>
        </w:rPr>
        <w:t>Установить тарифы на оказание услуг,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</w:t>
      </w:r>
      <w:r w:rsidR="00EB5132">
        <w:rPr>
          <w:sz w:val="28"/>
          <w:szCs w:val="28"/>
        </w:rPr>
        <w:t>»</w:t>
      </w:r>
      <w:r w:rsidR="00EB7BA1" w:rsidRPr="00EB7BA1">
        <w:rPr>
          <w:sz w:val="28"/>
          <w:szCs w:val="28"/>
        </w:rPr>
        <w:t xml:space="preserve"> согласно приложению</w:t>
      </w:r>
      <w:r w:rsidR="000D7089">
        <w:rPr>
          <w:sz w:val="28"/>
          <w:szCs w:val="28"/>
        </w:rPr>
        <w:t xml:space="preserve"> №1</w:t>
      </w:r>
      <w:r w:rsidR="00287ECB">
        <w:rPr>
          <w:sz w:val="28"/>
          <w:szCs w:val="28"/>
        </w:rPr>
        <w:t xml:space="preserve"> и приложению №2.</w:t>
      </w:r>
    </w:p>
    <w:p w:rsidR="00EB7BA1" w:rsidRPr="006F4D8F" w:rsidRDefault="006E4D11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6220A9">
        <w:rPr>
          <w:color w:val="000000"/>
          <w:sz w:val="28"/>
          <w:szCs w:val="28"/>
        </w:rPr>
        <w:t>Установить</w:t>
      </w:r>
      <w:r w:rsidR="00287ECB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п</w:t>
      </w:r>
      <w:r w:rsidR="00EB7BA1" w:rsidRPr="006F4D8F">
        <w:rPr>
          <w:color w:val="000000"/>
          <w:sz w:val="28"/>
          <w:szCs w:val="28"/>
        </w:rPr>
        <w:t>ериод</w:t>
      </w:r>
      <w:r w:rsidR="00941206">
        <w:rPr>
          <w:color w:val="000000"/>
          <w:sz w:val="28"/>
          <w:szCs w:val="28"/>
        </w:rPr>
        <w:t xml:space="preserve"> </w:t>
      </w:r>
      <w:r w:rsidR="00287ECB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>действия</w:t>
      </w:r>
      <w:r w:rsidR="006220A9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тарифов </w:t>
      </w:r>
      <w:r w:rsidR="00CE7562">
        <w:rPr>
          <w:color w:val="000000"/>
          <w:sz w:val="28"/>
          <w:szCs w:val="28"/>
        </w:rPr>
        <w:t>с 01</w:t>
      </w:r>
      <w:r w:rsidR="00941206">
        <w:rPr>
          <w:color w:val="000000"/>
          <w:sz w:val="28"/>
          <w:szCs w:val="28"/>
        </w:rPr>
        <w:t>.01.20</w:t>
      </w:r>
      <w:r w:rsidR="000D7089">
        <w:rPr>
          <w:color w:val="000000"/>
          <w:sz w:val="28"/>
          <w:szCs w:val="28"/>
        </w:rPr>
        <w:t>2</w:t>
      </w:r>
      <w:r w:rsidR="004D22DB">
        <w:rPr>
          <w:color w:val="000000"/>
          <w:sz w:val="28"/>
          <w:szCs w:val="28"/>
        </w:rPr>
        <w:t>3</w:t>
      </w:r>
      <w:r w:rsidR="00941206">
        <w:rPr>
          <w:color w:val="000000"/>
          <w:sz w:val="28"/>
          <w:szCs w:val="28"/>
        </w:rPr>
        <w:t xml:space="preserve"> г.</w:t>
      </w:r>
      <w:r w:rsidR="00EB7BA1">
        <w:rPr>
          <w:color w:val="000000"/>
          <w:sz w:val="28"/>
          <w:szCs w:val="28"/>
        </w:rPr>
        <w:t xml:space="preserve"> по 31.12.20</w:t>
      </w:r>
      <w:r w:rsidR="000D7089">
        <w:rPr>
          <w:color w:val="000000"/>
          <w:sz w:val="28"/>
          <w:szCs w:val="28"/>
        </w:rPr>
        <w:t>2</w:t>
      </w:r>
      <w:r w:rsidR="004D22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:rsidR="00A43733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proofErr w:type="spellStart"/>
      <w:r w:rsidR="006E4D11">
        <w:rPr>
          <w:color w:val="000000"/>
          <w:sz w:val="28"/>
          <w:szCs w:val="28"/>
          <w:lang w:val="en-US"/>
        </w:rPr>
        <w:t>kinel</w:t>
      </w:r>
      <w:proofErr w:type="spellEnd"/>
      <w:r w:rsidR="006E4D11" w:rsidRPr="00907752">
        <w:rPr>
          <w:color w:val="000000"/>
          <w:sz w:val="28"/>
          <w:szCs w:val="28"/>
        </w:rPr>
        <w:t>.</w:t>
      </w:r>
      <w:proofErr w:type="spellStart"/>
      <w:r w:rsidR="006E4D11">
        <w:rPr>
          <w:color w:val="000000"/>
          <w:sz w:val="28"/>
          <w:szCs w:val="28"/>
          <w:lang w:val="en-US"/>
        </w:rPr>
        <w:t>ru</w:t>
      </w:r>
      <w:proofErr w:type="spellEnd"/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A43733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E4D11">
        <w:rPr>
          <w:color w:val="000000"/>
          <w:sz w:val="28"/>
          <w:szCs w:val="28"/>
        </w:rPr>
        <w:t xml:space="preserve">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</w:t>
      </w:r>
      <w:r w:rsidR="00282CF2">
        <w:rPr>
          <w:color w:val="000000"/>
          <w:sz w:val="28"/>
          <w:szCs w:val="28"/>
        </w:rPr>
        <w:t>щего постановления возложить на</w:t>
      </w:r>
      <w:r w:rsidR="001B04D3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заместителя главы муниципального района Кинельский по экономике </w:t>
      </w:r>
      <w:r w:rsidR="00BB1E54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BB1E54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BB1E54">
        <w:rPr>
          <w:color w:val="000000"/>
          <w:sz w:val="28"/>
          <w:szCs w:val="28"/>
        </w:rPr>
        <w:t>Цыкунову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5B52FE" w:rsidRPr="003B3C79" w:rsidTr="00576CE4">
        <w:tc>
          <w:tcPr>
            <w:tcW w:w="3369" w:type="dxa"/>
            <w:shd w:val="clear" w:color="auto" w:fill="auto"/>
            <w:vAlign w:val="center"/>
          </w:tcPr>
          <w:p w:rsidR="004D22DB" w:rsidRDefault="004D22DB" w:rsidP="004D22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4D22DB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B52FE" w:rsidRPr="003B3C79" w:rsidRDefault="004D22DB" w:rsidP="004D22D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E4D1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E4D11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 w:rsidR="00EB7BA1"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 w:rsidR="00EB7BA1">
        <w:rPr>
          <w:sz w:val="24"/>
          <w:szCs w:val="24"/>
        </w:rPr>
        <w:t>МФЦ</w:t>
      </w:r>
      <w:r w:rsidRPr="00EA56AC">
        <w:rPr>
          <w:sz w:val="24"/>
          <w:szCs w:val="24"/>
        </w:rPr>
        <w:t>» - 1</w:t>
      </w:r>
      <w:r w:rsidR="004D22DB">
        <w:rPr>
          <w:sz w:val="24"/>
          <w:szCs w:val="24"/>
        </w:rPr>
        <w:t xml:space="preserve"> экз.,   прокуратура – 1 экз.</w:t>
      </w:r>
    </w:p>
    <w:p w:rsidR="00A43733" w:rsidRDefault="00A43733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4D22DB" w:rsidRDefault="004D22DB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0D7089" w:rsidRDefault="000D7089" w:rsidP="000D7089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D7089" w:rsidRPr="00DB5C14" w:rsidRDefault="000D7089" w:rsidP="000D7089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</w:t>
      </w:r>
      <w:r w:rsidR="00F67DDE">
        <w:rPr>
          <w:sz w:val="28"/>
          <w:szCs w:val="28"/>
          <w:u w:val="single"/>
        </w:rPr>
        <w:t>26.12.2022</w:t>
      </w:r>
      <w:r w:rsidRPr="00F31B48">
        <w:rPr>
          <w:sz w:val="28"/>
          <w:szCs w:val="28"/>
        </w:rPr>
        <w:t xml:space="preserve"> г.  № </w:t>
      </w:r>
      <w:r w:rsidR="00F67DDE">
        <w:rPr>
          <w:sz w:val="28"/>
          <w:szCs w:val="28"/>
          <w:u w:val="single"/>
        </w:rPr>
        <w:t>1993</w:t>
      </w: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 xml:space="preserve">, </w:t>
      </w:r>
    </w:p>
    <w:p w:rsidR="008E5682" w:rsidRDefault="008E5682" w:rsidP="008E5682">
      <w:pPr>
        <w:jc w:val="center"/>
        <w:outlineLvl w:val="0"/>
        <w:rPr>
          <w:b/>
          <w:sz w:val="28"/>
          <w:szCs w:val="28"/>
        </w:rPr>
      </w:pPr>
      <w:r w:rsidRPr="00451FB0">
        <w:rPr>
          <w:b/>
          <w:bCs/>
          <w:color w:val="000000"/>
          <w:kern w:val="36"/>
          <w:sz w:val="28"/>
          <w:szCs w:val="28"/>
        </w:rPr>
        <w:t xml:space="preserve">оказываемые </w:t>
      </w:r>
      <w:r w:rsidRPr="00451FB0">
        <w:rPr>
          <w:b/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 w:rsidR="000D7089">
        <w:rPr>
          <w:b/>
          <w:sz w:val="28"/>
          <w:szCs w:val="28"/>
        </w:rPr>
        <w:t>ственных и муниципальных услуг»</w:t>
      </w:r>
    </w:p>
    <w:p w:rsidR="000D7089" w:rsidRPr="00451FB0" w:rsidRDefault="000D7089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D22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0D7089" w:rsidRPr="008715FE" w:rsidRDefault="000D7089" w:rsidP="000D7089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957"/>
        <w:gridCol w:w="1559"/>
        <w:gridCol w:w="1391"/>
      </w:tblGrid>
      <w:tr w:rsidR="000D7089" w:rsidRPr="00983183" w:rsidTr="00760D41">
        <w:trPr>
          <w:trHeight w:val="1206"/>
        </w:trPr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 xml:space="preserve">№ </w:t>
            </w:r>
            <w:proofErr w:type="gramStart"/>
            <w:r w:rsidRPr="007C10DC">
              <w:rPr>
                <w:sz w:val="26"/>
                <w:szCs w:val="26"/>
              </w:rPr>
              <w:t>п</w:t>
            </w:r>
            <w:proofErr w:type="gramEnd"/>
            <w:r w:rsidRPr="007C10DC">
              <w:rPr>
                <w:sz w:val="26"/>
                <w:szCs w:val="26"/>
              </w:rPr>
              <w:t>/п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Перечень предоставляемых услуг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91" w:type="dxa"/>
          </w:tcPr>
          <w:p w:rsidR="000D7089" w:rsidRPr="004B059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 с НДС (руб.)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2-</w:t>
            </w:r>
            <w:r w:rsidRPr="002507B0">
              <w:rPr>
                <w:sz w:val="26"/>
                <w:szCs w:val="26"/>
              </w:rPr>
              <w:t xml:space="preserve">х до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 включительно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</w:t>
            </w:r>
            <w:r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более одного объекта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 использованием материнского капитала</w:t>
            </w:r>
            <w:r w:rsidRPr="00653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</w:t>
            </w:r>
            <w:r w:rsidRPr="00DF79EA">
              <w:rPr>
                <w:i/>
                <w:sz w:val="26"/>
                <w:szCs w:val="26"/>
              </w:rPr>
              <w:t xml:space="preserve"> </w:t>
            </w:r>
            <w:r w:rsidRPr="002507B0">
              <w:rPr>
                <w:sz w:val="26"/>
                <w:szCs w:val="26"/>
              </w:rPr>
              <w:t>использованием кредитных средств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пакета документов для регистрации права собственности на недвижимое имущество: (земельного участка, жилого дома, квартиры, нежилых объектов)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том числе</w:t>
            </w:r>
            <w:r w:rsidRPr="008F4958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архивном отделе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в архиве Управления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 xml:space="preserve"> по Самарской области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садоводческих товариществах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-27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для постановки объекта недвижимости на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</w:t>
            </w:r>
            <w:r w:rsidR="00A4137D">
              <w:rPr>
                <w:sz w:val="26"/>
                <w:szCs w:val="26"/>
              </w:rPr>
              <w:t xml:space="preserve">казчика для внесения изменений </w:t>
            </w:r>
            <w:r>
              <w:rPr>
                <w:sz w:val="26"/>
                <w:szCs w:val="26"/>
              </w:rPr>
              <w:t>в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ГУП «ЦТИ»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отделе (управлении) архитектуры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межевого плана земельного участка или технического плана помещения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плана границ земельного участки или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нотариуса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при государственной регистрации права собственности на объект недвижимости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органе местного самоуправления при предоставлении земельного участка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7" w:type="dxa"/>
          </w:tcPr>
          <w:p w:rsidR="000D7089" w:rsidRDefault="000D7089" w:rsidP="00F55EC5">
            <w:pPr>
              <w:autoSpaceDE w:val="0"/>
              <w:autoSpaceDN w:val="0"/>
              <w:adjustRightInd w:val="0"/>
              <w:ind w:left="-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в области земельно-правовых отношений и прекращения долевой собственности на объекты недвижимости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760D41">
            <w:pPr>
              <w:tabs>
                <w:tab w:val="left" w:pos="-9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процессуальных документов (исковые заявления, жалобы, отзывы на исковые заявления, ходатайства, претензии и другие)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суде (за одно судебное заседание)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консультации (разовая устная), по вопросам, не связанным с основной деятельностью МБУ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компьютерной грамотности заявителей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Фотографирование заявителей МФЦ на документы (паспорт)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</w:t>
            </w:r>
            <w:r w:rsidR="00760D41">
              <w:rPr>
                <w:sz w:val="26"/>
                <w:szCs w:val="26"/>
              </w:rPr>
              <w:t xml:space="preserve">ля принтеров и ксероксов </w:t>
            </w:r>
            <w:r w:rsidR="00760D41">
              <w:rPr>
                <w:sz w:val="26"/>
                <w:szCs w:val="26"/>
              </w:rPr>
              <w:lastRenderedPageBreak/>
              <w:t>(</w:t>
            </w:r>
            <w:r>
              <w:rPr>
                <w:sz w:val="26"/>
                <w:szCs w:val="26"/>
              </w:rPr>
              <w:t>до 150 гр</w:t>
            </w:r>
            <w:r w:rsidR="00760D41">
              <w:rPr>
                <w:sz w:val="26"/>
                <w:szCs w:val="26"/>
              </w:rPr>
              <w:t>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BB1E54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</w:t>
            </w:r>
            <w:r w:rsidR="00760D41">
              <w:rPr>
                <w:sz w:val="26"/>
                <w:szCs w:val="26"/>
              </w:rPr>
              <w:t>интеров и ксероксов (от</w:t>
            </w:r>
            <w:r>
              <w:rPr>
                <w:sz w:val="26"/>
                <w:szCs w:val="26"/>
              </w:rPr>
              <w:t xml:space="preserve"> 150 гр</w:t>
            </w:r>
            <w:r w:rsidR="00760D41">
              <w:rPr>
                <w:sz w:val="26"/>
                <w:szCs w:val="26"/>
              </w:rPr>
              <w:t>амм до 500 грамм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760D4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57" w:type="dxa"/>
          </w:tcPr>
          <w:p w:rsidR="000D7089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картриджа</w:t>
            </w:r>
            <w:r w:rsidR="000D7089">
              <w:rPr>
                <w:sz w:val="26"/>
                <w:szCs w:val="26"/>
              </w:rPr>
              <w:t xml:space="preserve"> с заменой магнитного вала или очистительного лезвия</w:t>
            </w:r>
            <w:r w:rsidR="006220A9">
              <w:rPr>
                <w:sz w:val="26"/>
                <w:szCs w:val="26"/>
              </w:rPr>
              <w:t xml:space="preserve"> или чипа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(600 грамм)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57" w:type="dxa"/>
          </w:tcPr>
          <w:p w:rsidR="004D1C55" w:rsidRP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Восстановление картриджа с заменой </w:t>
            </w:r>
            <w:proofErr w:type="spellStart"/>
            <w:r>
              <w:rPr>
                <w:sz w:val="26"/>
                <w:szCs w:val="26"/>
              </w:rPr>
              <w:t>фотобарабана</w:t>
            </w:r>
            <w:proofErr w:type="spellEnd"/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6220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картриджа с заменой вала заряда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одном источнике дохода и одном вычете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1B04D3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налоговой декларации по налогу на доходы физических лиц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более одного источника дохода и более одного вычета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Ламинирование</w:t>
            </w:r>
            <w:proofErr w:type="spellEnd"/>
            <w:r>
              <w:rPr>
                <w:sz w:val="26"/>
                <w:szCs w:val="26"/>
              </w:rPr>
              <w:t xml:space="preserve"> документов формата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до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более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корпуса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механического узла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электроники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форматирования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подачи бумаги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проявки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сканирования лазерного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Ремонт/замена датчика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кода ошибки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посторонних предметов, замятия бумаги в лазерном принтере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957" w:type="dxa"/>
          </w:tcPr>
          <w:p w:rsidR="00282CF2" w:rsidRPr="00FC53A7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работы с заправленными картриджами </w:t>
            </w:r>
            <w:proofErr w:type="gramStart"/>
            <w:r>
              <w:rPr>
                <w:sz w:val="26"/>
                <w:szCs w:val="26"/>
              </w:rPr>
              <w:t>лазерного</w:t>
            </w:r>
            <w:proofErr w:type="gramEnd"/>
            <w:r>
              <w:rPr>
                <w:sz w:val="26"/>
                <w:szCs w:val="26"/>
              </w:rPr>
              <w:t xml:space="preserve">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</w:tbl>
    <w:p w:rsidR="00287ECB" w:rsidRDefault="00287ECB" w:rsidP="000D7089">
      <w:pPr>
        <w:jc w:val="center"/>
        <w:outlineLvl w:val="0"/>
        <w:rPr>
          <w:sz w:val="28"/>
          <w:szCs w:val="28"/>
        </w:rPr>
      </w:pPr>
    </w:p>
    <w:p w:rsidR="00287ECB" w:rsidRDefault="00287ECB" w:rsidP="00287ECB">
      <w:pPr>
        <w:spacing w:line="276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287ECB" w:rsidRPr="00DB5C14" w:rsidRDefault="00287ECB" w:rsidP="00287ECB">
      <w:pPr>
        <w:spacing w:line="276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F67DDE">
        <w:rPr>
          <w:sz w:val="28"/>
          <w:szCs w:val="28"/>
          <w:u w:val="single"/>
        </w:rPr>
        <w:t>26.12.2022</w:t>
      </w:r>
      <w:r w:rsidRPr="00F31B48">
        <w:rPr>
          <w:sz w:val="28"/>
          <w:szCs w:val="28"/>
        </w:rPr>
        <w:t xml:space="preserve"> г.  № </w:t>
      </w:r>
      <w:r w:rsidR="00F67DDE">
        <w:rPr>
          <w:sz w:val="28"/>
          <w:szCs w:val="28"/>
          <w:u w:val="single"/>
        </w:rPr>
        <w:t>1993</w:t>
      </w: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>,</w:t>
      </w:r>
    </w:p>
    <w:p w:rsidR="00287ECB" w:rsidRPr="00287ECB" w:rsidRDefault="00287ECB" w:rsidP="00287ECB">
      <w:pPr>
        <w:jc w:val="center"/>
        <w:outlineLvl w:val="0"/>
        <w:rPr>
          <w:b/>
          <w:sz w:val="28"/>
          <w:szCs w:val="28"/>
        </w:rPr>
      </w:pPr>
      <w:r w:rsidRPr="00287ECB">
        <w:rPr>
          <w:b/>
          <w:sz w:val="28"/>
          <w:szCs w:val="28"/>
        </w:rPr>
        <w:t>«Предоставление сведений, содержащихся в Едином государственном реестре недвижимости, и иной информации» предоставляемых муниципальным бюджетным учреждением муниципально</w:t>
      </w:r>
      <w:bookmarkStart w:id="0" w:name="_GoBack"/>
      <w:bookmarkEnd w:id="0"/>
      <w:r w:rsidRPr="00287ECB">
        <w:rPr>
          <w:b/>
          <w:sz w:val="28"/>
          <w:szCs w:val="28"/>
        </w:rPr>
        <w:t>го района Кинельский «Многофункциональный центр предоставления государственных и муниципальных услуг»</w:t>
      </w:r>
    </w:p>
    <w:p w:rsidR="00287ECB" w:rsidRPr="00451FB0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E6C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287ECB" w:rsidRPr="008715FE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036"/>
        <w:gridCol w:w="1346"/>
        <w:gridCol w:w="2126"/>
        <w:gridCol w:w="1613"/>
      </w:tblGrid>
      <w:tr w:rsidR="00287ECB" w:rsidRPr="001F76A8" w:rsidTr="00287ECB">
        <w:tc>
          <w:tcPr>
            <w:tcW w:w="4201" w:type="dxa"/>
            <w:gridSpan w:val="2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085" w:type="dxa"/>
            <w:gridSpan w:val="3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39" w:type="dxa"/>
            <w:gridSpan w:val="2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 xml:space="preserve">размер части платы за обеспечение многофункциональным </w:t>
            </w:r>
            <w:r w:rsidR="002E6C68">
              <w:rPr>
                <w:sz w:val="24"/>
                <w:szCs w:val="24"/>
              </w:rPr>
              <w:t>центром предоставления сведений</w:t>
            </w:r>
            <w:r w:rsidRPr="001F76A8">
              <w:rPr>
                <w:sz w:val="24"/>
                <w:szCs w:val="24"/>
              </w:rPr>
              <w:t>, содержащихся в ЕГРН, руб.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юридические лица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Росземкадастра</w:t>
            </w:r>
            <w:proofErr w:type="spell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от 2 октября 2002 г. N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П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технической инвентаризации, при наличии в реестровом деле такого паспорта), разрешения на ввод объекта в эксплуатацию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ии и ее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130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недееспособным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или ограниченно дееспособным &lt;**&gt;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165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510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Аналитическая информация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rPr>
          <w:trHeight w:val="543"/>
        </w:trPr>
        <w:tc>
          <w:tcPr>
            <w:tcW w:w="2165" w:type="dxa"/>
            <w:vMerge w:val="restart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&lt;**&gt;</w:t>
            </w: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1 субъекта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</w:tr>
      <w:tr w:rsidR="00287ECB" w:rsidRPr="001F76A8" w:rsidTr="00287ECB">
        <w:trPr>
          <w:trHeight w:val="517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 до 28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220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435</w:t>
            </w:r>
          </w:p>
        </w:tc>
      </w:tr>
      <w:tr w:rsidR="00287ECB" w:rsidRPr="001F76A8" w:rsidTr="00287ECB">
        <w:trPr>
          <w:trHeight w:val="530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29 до 56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490</w:t>
            </w:r>
          </w:p>
        </w:tc>
      </w:tr>
      <w:tr w:rsidR="00287ECB" w:rsidRPr="001F76A8" w:rsidTr="00287ECB">
        <w:trPr>
          <w:trHeight w:val="441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более 57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520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дате получения органом регистрации прав заявления о государственном кадастровом учете и (или государственной регистрации прав и прилагаемых к нему документов &lt;**&gt;</w:t>
            </w:r>
            <w:proofErr w:type="gramEnd"/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Кадастровый план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о границе между субъектами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Российской Федерации, границе муниципального образования и границе населенного пункта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Справка о лицах, получивших сведения об объектах недвижимого имущества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D60040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50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160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814D05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ятие как имущественный комплекс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150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240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814D05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Выписка о содержании правоустанавливающих 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кументов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222222"/>
                <w:sz w:val="24"/>
                <w:szCs w:val="24"/>
                <w:lang w:eastAsia="zh-CN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290</w:t>
            </w:r>
          </w:p>
        </w:tc>
      </w:tr>
    </w:tbl>
    <w:p w:rsidR="00287ECB" w:rsidRDefault="00287ECB" w:rsidP="00287ECB">
      <w:pPr>
        <w:spacing w:line="360" w:lineRule="auto"/>
        <w:jc w:val="both"/>
        <w:rPr>
          <w:sz w:val="28"/>
          <w:szCs w:val="28"/>
        </w:rPr>
      </w:pPr>
    </w:p>
    <w:p w:rsidR="00287ECB" w:rsidRPr="00A35C52" w:rsidRDefault="00287ECB" w:rsidP="00287ECB">
      <w:pPr>
        <w:jc w:val="both"/>
        <w:rPr>
          <w:rFonts w:eastAsia="Arial"/>
          <w:color w:val="222222"/>
          <w:sz w:val="24"/>
          <w:szCs w:val="24"/>
          <w:lang w:bidi="ar"/>
        </w:rPr>
      </w:pPr>
      <w:r>
        <w:rPr>
          <w:rFonts w:eastAsia="Arial"/>
          <w:color w:val="222222"/>
          <w:sz w:val="24"/>
          <w:szCs w:val="24"/>
          <w:lang w:bidi="ar"/>
        </w:rPr>
        <w:t>&lt;</w:t>
      </w:r>
      <w:r w:rsidRPr="006243FE">
        <w:rPr>
          <w:rFonts w:eastAsia="Arial"/>
          <w:color w:val="222222"/>
          <w:sz w:val="24"/>
          <w:szCs w:val="24"/>
          <w:lang w:bidi="ar"/>
        </w:rPr>
        <w:t>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З</w:t>
      </w:r>
      <w:r w:rsidRPr="00FE39C6">
        <w:rPr>
          <w:sz w:val="24"/>
          <w:szCs w:val="24"/>
        </w:rPr>
        <w:t xml:space="preserve">а исключением заявителей, обладающих в соответствии с </w:t>
      </w:r>
      <w:r>
        <w:rPr>
          <w:sz w:val="24"/>
          <w:szCs w:val="24"/>
        </w:rPr>
        <w:t>федеральным законом</w:t>
      </w:r>
      <w:r w:rsidRPr="00FE39C6">
        <w:rPr>
          <w:sz w:val="24"/>
          <w:szCs w:val="24"/>
        </w:rPr>
        <w:t xml:space="preserve"> правом на бесплатное предоставление сведений, содержащихся в </w:t>
      </w:r>
      <w:r>
        <w:rPr>
          <w:rFonts w:eastAsia="Arial"/>
          <w:color w:val="222222"/>
          <w:sz w:val="24"/>
          <w:szCs w:val="24"/>
          <w:lang w:bidi="ar"/>
        </w:rPr>
        <w:t>Едином государственном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реестр</w:t>
      </w:r>
      <w:r>
        <w:rPr>
          <w:rFonts w:eastAsia="Arial"/>
          <w:color w:val="222222"/>
          <w:sz w:val="24"/>
          <w:szCs w:val="24"/>
          <w:lang w:bidi="ar"/>
        </w:rPr>
        <w:t>е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</w:t>
      </w:r>
      <w:r w:rsidRPr="00A35C52">
        <w:rPr>
          <w:rFonts w:eastAsia="Arial"/>
          <w:color w:val="222222"/>
          <w:sz w:val="24"/>
          <w:szCs w:val="24"/>
          <w:lang w:bidi="ar"/>
        </w:rPr>
        <w:t>недвижимости</w:t>
      </w:r>
    </w:p>
    <w:p w:rsidR="00287ECB" w:rsidRPr="00D21A0D" w:rsidRDefault="00287ECB" w:rsidP="00287ECB">
      <w:pPr>
        <w:jc w:val="both"/>
        <w:rPr>
          <w:sz w:val="28"/>
          <w:szCs w:val="28"/>
        </w:rPr>
      </w:pPr>
      <w:r w:rsidRPr="006243FE">
        <w:rPr>
          <w:rFonts w:eastAsia="Arial"/>
          <w:color w:val="222222"/>
          <w:sz w:val="24"/>
          <w:szCs w:val="24"/>
          <w:lang w:bidi="ar"/>
        </w:rPr>
        <w:t>&lt;**&gt;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П</w:t>
      </w:r>
      <w:r w:rsidRPr="00FE39C6">
        <w:rPr>
          <w:sz w:val="24"/>
          <w:szCs w:val="24"/>
        </w:rPr>
        <w:t>редоставляются лицам, указанным в ч</w:t>
      </w:r>
      <w:r>
        <w:rPr>
          <w:sz w:val="24"/>
          <w:szCs w:val="24"/>
        </w:rPr>
        <w:t xml:space="preserve">асти </w:t>
      </w:r>
      <w:r w:rsidRPr="00FE39C6">
        <w:rPr>
          <w:sz w:val="24"/>
          <w:szCs w:val="24"/>
        </w:rPr>
        <w:t>13 ст</w:t>
      </w:r>
      <w:r>
        <w:rPr>
          <w:sz w:val="24"/>
          <w:szCs w:val="24"/>
        </w:rPr>
        <w:t xml:space="preserve">атьи </w:t>
      </w:r>
      <w:r w:rsidRPr="00FE39C6">
        <w:rPr>
          <w:sz w:val="24"/>
          <w:szCs w:val="24"/>
        </w:rPr>
        <w:t>62 Ф</w:t>
      </w:r>
      <w:r>
        <w:rPr>
          <w:sz w:val="24"/>
          <w:szCs w:val="24"/>
        </w:rPr>
        <w:t>едерального закона</w:t>
      </w:r>
      <w:r w:rsidRPr="00FE39C6">
        <w:rPr>
          <w:sz w:val="24"/>
          <w:szCs w:val="24"/>
        </w:rPr>
        <w:t xml:space="preserve"> от 13.07.2015 №218-ФЗ «О государственной регистрации недвижимости»</w:t>
      </w:r>
    </w:p>
    <w:p w:rsidR="00287ECB" w:rsidRDefault="00287ECB" w:rsidP="00287ECB">
      <w:pPr>
        <w:tabs>
          <w:tab w:val="left" w:pos="851"/>
        </w:tabs>
        <w:spacing w:line="192" w:lineRule="auto"/>
        <w:ind w:left="851" w:hanging="851"/>
        <w:jc w:val="both"/>
        <w:rPr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sz w:val="28"/>
          <w:szCs w:val="28"/>
        </w:rPr>
      </w:pPr>
    </w:p>
    <w:sectPr w:rsidR="00287ECB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A0" w:rsidRDefault="00672FA0" w:rsidP="00281845">
      <w:r>
        <w:separator/>
      </w:r>
    </w:p>
  </w:endnote>
  <w:endnote w:type="continuationSeparator" w:id="0">
    <w:p w:rsidR="00672FA0" w:rsidRDefault="00672FA0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A0" w:rsidRDefault="00672FA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67DDE">
      <w:rPr>
        <w:noProof/>
      </w:rPr>
      <w:t>6</w:t>
    </w:r>
    <w:r>
      <w:fldChar w:fldCharType="end"/>
    </w:r>
  </w:p>
  <w:p w:rsidR="00672FA0" w:rsidRDefault="00672F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A0" w:rsidRDefault="00672FA0" w:rsidP="00281845">
      <w:r>
        <w:separator/>
      </w:r>
    </w:p>
  </w:footnote>
  <w:footnote w:type="continuationSeparator" w:id="0">
    <w:p w:rsidR="00672FA0" w:rsidRDefault="00672FA0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522EF"/>
    <w:rsid w:val="0005395C"/>
    <w:rsid w:val="00071CD9"/>
    <w:rsid w:val="00083E2E"/>
    <w:rsid w:val="000A7557"/>
    <w:rsid w:val="000B205A"/>
    <w:rsid w:val="000D0386"/>
    <w:rsid w:val="000D6849"/>
    <w:rsid w:val="000D7089"/>
    <w:rsid w:val="000F68BE"/>
    <w:rsid w:val="00103050"/>
    <w:rsid w:val="00104A81"/>
    <w:rsid w:val="00141AB1"/>
    <w:rsid w:val="00157BFC"/>
    <w:rsid w:val="00181640"/>
    <w:rsid w:val="001A4990"/>
    <w:rsid w:val="001B04D3"/>
    <w:rsid w:val="001B7623"/>
    <w:rsid w:val="001B769D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82CF2"/>
    <w:rsid w:val="00287ECB"/>
    <w:rsid w:val="00290212"/>
    <w:rsid w:val="00294AC3"/>
    <w:rsid w:val="002B6DC2"/>
    <w:rsid w:val="002E6C68"/>
    <w:rsid w:val="00322087"/>
    <w:rsid w:val="0032493A"/>
    <w:rsid w:val="0032566F"/>
    <w:rsid w:val="003277E1"/>
    <w:rsid w:val="00333D7C"/>
    <w:rsid w:val="00337423"/>
    <w:rsid w:val="00354377"/>
    <w:rsid w:val="003664AB"/>
    <w:rsid w:val="00397AB5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D1C55"/>
    <w:rsid w:val="004D22DB"/>
    <w:rsid w:val="004E44AC"/>
    <w:rsid w:val="004F1B41"/>
    <w:rsid w:val="005547F2"/>
    <w:rsid w:val="00576CE4"/>
    <w:rsid w:val="005B2A7B"/>
    <w:rsid w:val="005B3A76"/>
    <w:rsid w:val="005B52FE"/>
    <w:rsid w:val="005B5F4A"/>
    <w:rsid w:val="005D11BD"/>
    <w:rsid w:val="005E6167"/>
    <w:rsid w:val="005F1438"/>
    <w:rsid w:val="00600DA3"/>
    <w:rsid w:val="006113D3"/>
    <w:rsid w:val="006220A9"/>
    <w:rsid w:val="006352AA"/>
    <w:rsid w:val="00635778"/>
    <w:rsid w:val="0064436D"/>
    <w:rsid w:val="00651738"/>
    <w:rsid w:val="00654B64"/>
    <w:rsid w:val="00672FA0"/>
    <w:rsid w:val="00673BDF"/>
    <w:rsid w:val="006912F1"/>
    <w:rsid w:val="00695D38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0D41"/>
    <w:rsid w:val="00767233"/>
    <w:rsid w:val="00771622"/>
    <w:rsid w:val="00780E62"/>
    <w:rsid w:val="007D45CD"/>
    <w:rsid w:val="007E42DC"/>
    <w:rsid w:val="007E5572"/>
    <w:rsid w:val="007F377E"/>
    <w:rsid w:val="00812468"/>
    <w:rsid w:val="00814A27"/>
    <w:rsid w:val="00852C10"/>
    <w:rsid w:val="00853DBF"/>
    <w:rsid w:val="00874691"/>
    <w:rsid w:val="0089362A"/>
    <w:rsid w:val="008939A7"/>
    <w:rsid w:val="008955E7"/>
    <w:rsid w:val="008B12D6"/>
    <w:rsid w:val="008B5018"/>
    <w:rsid w:val="008D73EE"/>
    <w:rsid w:val="008E019F"/>
    <w:rsid w:val="008E105D"/>
    <w:rsid w:val="008E5682"/>
    <w:rsid w:val="009170CE"/>
    <w:rsid w:val="009212DA"/>
    <w:rsid w:val="00937EA6"/>
    <w:rsid w:val="00941206"/>
    <w:rsid w:val="009427C1"/>
    <w:rsid w:val="00960EE6"/>
    <w:rsid w:val="00961918"/>
    <w:rsid w:val="009708CD"/>
    <w:rsid w:val="009D558A"/>
    <w:rsid w:val="00A24BAE"/>
    <w:rsid w:val="00A4137D"/>
    <w:rsid w:val="00A43733"/>
    <w:rsid w:val="00A56490"/>
    <w:rsid w:val="00AB56E3"/>
    <w:rsid w:val="00B03036"/>
    <w:rsid w:val="00B14AA5"/>
    <w:rsid w:val="00B15ECF"/>
    <w:rsid w:val="00B413D2"/>
    <w:rsid w:val="00B43615"/>
    <w:rsid w:val="00B46300"/>
    <w:rsid w:val="00B47FEA"/>
    <w:rsid w:val="00B56D2A"/>
    <w:rsid w:val="00B636BE"/>
    <w:rsid w:val="00B65602"/>
    <w:rsid w:val="00B85140"/>
    <w:rsid w:val="00B90053"/>
    <w:rsid w:val="00B91574"/>
    <w:rsid w:val="00BA2D88"/>
    <w:rsid w:val="00BB1492"/>
    <w:rsid w:val="00BB1E54"/>
    <w:rsid w:val="00BD6702"/>
    <w:rsid w:val="00BF6D46"/>
    <w:rsid w:val="00C1088A"/>
    <w:rsid w:val="00C50BA5"/>
    <w:rsid w:val="00C518AA"/>
    <w:rsid w:val="00CD5727"/>
    <w:rsid w:val="00CE58A9"/>
    <w:rsid w:val="00CE7562"/>
    <w:rsid w:val="00CF38C5"/>
    <w:rsid w:val="00D257C8"/>
    <w:rsid w:val="00D27190"/>
    <w:rsid w:val="00D56411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5132"/>
    <w:rsid w:val="00EB7BA1"/>
    <w:rsid w:val="00EC316E"/>
    <w:rsid w:val="00EE649D"/>
    <w:rsid w:val="00EE6681"/>
    <w:rsid w:val="00EF22EC"/>
    <w:rsid w:val="00F24C6E"/>
    <w:rsid w:val="00F31B48"/>
    <w:rsid w:val="00F55EC5"/>
    <w:rsid w:val="00F5618C"/>
    <w:rsid w:val="00F56607"/>
    <w:rsid w:val="00F67DDE"/>
    <w:rsid w:val="00F72EBE"/>
    <w:rsid w:val="00F9764D"/>
    <w:rsid w:val="00FA29E9"/>
    <w:rsid w:val="00FA3C4B"/>
    <w:rsid w:val="00FA5403"/>
    <w:rsid w:val="00FC107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15</cp:revision>
  <cp:lastPrinted>2022-12-20T11:30:00Z</cp:lastPrinted>
  <dcterms:created xsi:type="dcterms:W3CDTF">2019-12-05T10:53:00Z</dcterms:created>
  <dcterms:modified xsi:type="dcterms:W3CDTF">2022-12-26T11:51:00Z</dcterms:modified>
</cp:coreProperties>
</file>