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431" w:rsidRDefault="00CF743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F7431" w:rsidRDefault="00CF743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F7431" w:rsidRDefault="00CF743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CF7431" w:rsidRDefault="00CF743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CF7431" w:rsidRDefault="00CF743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CF7431" w:rsidRDefault="00CF7431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CF7431" w:rsidRDefault="00CF7431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CF7431" w:rsidRPr="003E099A" w:rsidRDefault="00CF7431" w:rsidP="00EC31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F7431" w:rsidRPr="0070641B" w:rsidRDefault="00CF7431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01.06.2023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859</w:t>
                            </w:r>
                          </w:p>
                          <w:p w:rsidR="00CF7431" w:rsidRPr="005669C2" w:rsidRDefault="00CF7431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CF7431" w:rsidRDefault="00CF7431" w:rsidP="00EC316E">
                            <w:pPr>
                              <w:jc w:val="center"/>
                            </w:pPr>
                          </w:p>
                          <w:p w:rsidR="00CF7431" w:rsidRDefault="00CF7431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CF7431" w:rsidRDefault="00CF7431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F7431" w:rsidRDefault="00CF7431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F7431" w:rsidRDefault="00CF7431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CF7431" w:rsidRDefault="00CF7431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CF7431" w:rsidRDefault="00CF7431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CF7431" w:rsidRDefault="00CF7431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CF7431" w:rsidRDefault="00CF7431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CF7431" w:rsidRPr="003E099A" w:rsidRDefault="00CF7431" w:rsidP="00EC316E">
                      <w:pPr>
                        <w:rPr>
                          <w:sz w:val="24"/>
                        </w:rPr>
                      </w:pPr>
                    </w:p>
                    <w:p w:rsidR="00CF7431" w:rsidRPr="0070641B" w:rsidRDefault="00CF7431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01.06.2023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859</w:t>
                      </w:r>
                    </w:p>
                    <w:p w:rsidR="00CF7431" w:rsidRPr="005669C2" w:rsidRDefault="00CF7431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CF7431" w:rsidRDefault="00CF7431" w:rsidP="00EC316E">
                      <w:pPr>
                        <w:jc w:val="center"/>
                      </w:pPr>
                    </w:p>
                    <w:p w:rsidR="00CF7431" w:rsidRDefault="00CF7431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E099A">
      <w:pPr>
        <w:tabs>
          <w:tab w:val="left" w:pos="6820"/>
        </w:tabs>
        <w:jc w:val="right"/>
        <w:rPr>
          <w:b/>
          <w:sz w:val="32"/>
          <w:szCs w:val="32"/>
        </w:rPr>
      </w:pPr>
    </w:p>
    <w:p w:rsidR="00EC316E" w:rsidRDefault="00EC316E" w:rsidP="00EC316E">
      <w:r>
        <w:t xml:space="preserve">          </w:t>
      </w:r>
    </w:p>
    <w:p w:rsidR="00EC316E" w:rsidRDefault="006656F2" w:rsidP="003E099A">
      <w:pPr>
        <w:tabs>
          <w:tab w:val="left" w:pos="7618"/>
        </w:tabs>
        <w:jc w:val="center"/>
      </w:pPr>
      <w:r>
        <w:tab/>
      </w:r>
    </w:p>
    <w:p w:rsidR="003E099A" w:rsidRDefault="003E099A" w:rsidP="003E099A">
      <w:pPr>
        <w:tabs>
          <w:tab w:val="left" w:pos="7618"/>
        </w:tabs>
      </w:pPr>
    </w:p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CC092B" w:rsidRPr="00945CBD" w:rsidTr="003E099A">
        <w:tc>
          <w:tcPr>
            <w:tcW w:w="4928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D0372B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2D2E79">
              <w:rPr>
                <w:b/>
                <w:color w:val="000000"/>
                <w:sz w:val="28"/>
                <w:szCs w:val="28"/>
              </w:rPr>
              <w:t>о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D2E79">
              <w:rPr>
                <w:b/>
                <w:color w:val="000000"/>
                <w:sz w:val="28"/>
                <w:szCs w:val="28"/>
              </w:rPr>
              <w:t>2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 полугодии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D0372B">
              <w:rPr>
                <w:b/>
                <w:color w:val="000000"/>
                <w:sz w:val="28"/>
                <w:szCs w:val="28"/>
              </w:rPr>
              <w:t>3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D0372B">
        <w:rPr>
          <w:sz w:val="28"/>
          <w:szCs w:val="28"/>
        </w:rPr>
        <w:t>3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127E2C">
        <w:rPr>
          <w:sz w:val="28"/>
          <w:szCs w:val="28"/>
        </w:rPr>
        <w:t>25</w:t>
      </w:r>
      <w:r w:rsidR="00F76085" w:rsidRPr="00BD6F29">
        <w:rPr>
          <w:sz w:val="28"/>
          <w:szCs w:val="28"/>
        </w:rPr>
        <w:t xml:space="preserve"> </w:t>
      </w:r>
      <w:r w:rsidR="00127E2C">
        <w:rPr>
          <w:sz w:val="28"/>
          <w:szCs w:val="28"/>
        </w:rPr>
        <w:t>мая</w:t>
      </w:r>
      <w:r w:rsidR="00F76085" w:rsidRPr="00BD6F29">
        <w:rPr>
          <w:sz w:val="28"/>
          <w:szCs w:val="28"/>
        </w:rPr>
        <w:t xml:space="preserve"> </w:t>
      </w:r>
      <w:r w:rsidR="00536151" w:rsidRPr="00BD6F29">
        <w:rPr>
          <w:sz w:val="28"/>
          <w:szCs w:val="28"/>
        </w:rPr>
        <w:t>20</w:t>
      </w:r>
      <w:r w:rsidR="00483989" w:rsidRPr="00BD6F29">
        <w:rPr>
          <w:sz w:val="28"/>
          <w:szCs w:val="28"/>
        </w:rPr>
        <w:t>2</w:t>
      </w:r>
      <w:r w:rsidR="00127E2C">
        <w:rPr>
          <w:sz w:val="28"/>
          <w:szCs w:val="28"/>
        </w:rPr>
        <w:t>3</w:t>
      </w:r>
      <w:r w:rsidR="00536151" w:rsidRPr="00BD6F29">
        <w:rPr>
          <w:sz w:val="28"/>
          <w:szCs w:val="28"/>
        </w:rPr>
        <w:t xml:space="preserve"> г. № </w:t>
      </w:r>
      <w:r w:rsidR="00127E2C">
        <w:rPr>
          <w:sz w:val="28"/>
          <w:szCs w:val="28"/>
        </w:rPr>
        <w:t>4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</w:t>
      </w:r>
      <w:r w:rsidR="00F169F4">
        <w:rPr>
          <w:rFonts w:eastAsia="Calibri"/>
          <w:sz w:val="28"/>
          <w:szCs w:val="28"/>
        </w:rPr>
        <w:lastRenderedPageBreak/>
        <w:t>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2D2E79">
        <w:rPr>
          <w:sz w:val="28"/>
          <w:szCs w:val="28"/>
        </w:rPr>
        <w:t>7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D0372B">
        <w:rPr>
          <w:sz w:val="28"/>
          <w:szCs w:val="28"/>
        </w:rPr>
        <w:t>3</w:t>
      </w:r>
      <w:r w:rsidR="00092340" w:rsidRPr="00B62C3E">
        <w:rPr>
          <w:sz w:val="28"/>
          <w:szCs w:val="28"/>
        </w:rPr>
        <w:t xml:space="preserve"> г. по 3</w:t>
      </w:r>
      <w:r w:rsidR="002D2E79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</w:t>
      </w:r>
      <w:r w:rsidR="002D2E79">
        <w:rPr>
          <w:sz w:val="28"/>
          <w:szCs w:val="28"/>
        </w:rPr>
        <w:t>12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D0372B">
        <w:rPr>
          <w:sz w:val="28"/>
          <w:szCs w:val="28"/>
        </w:rPr>
        <w:t>3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5145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CF7431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F7431" w:rsidRPr="00CF7431">
              <w:rPr>
                <w:color w:val="000000"/>
                <w:sz w:val="24"/>
                <w:szCs w:val="24"/>
                <w:u w:val="single"/>
              </w:rPr>
              <w:t>01.06.2023 г.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CF7431">
              <w:rPr>
                <w:color w:val="000000"/>
                <w:sz w:val="24"/>
                <w:szCs w:val="24"/>
                <w:u w:val="single"/>
              </w:rPr>
              <w:t>859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D037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D0372B">
              <w:rPr>
                <w:b/>
                <w:bCs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D037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0372B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0372B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D0372B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12,96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3C7E2D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CF7431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CF7431">
              <w:rPr>
                <w:color w:val="000000"/>
                <w:sz w:val="24"/>
                <w:szCs w:val="24"/>
                <w:u w:val="single"/>
              </w:rPr>
              <w:t>01.06.2023 г.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F7431">
              <w:rPr>
                <w:color w:val="000000"/>
                <w:sz w:val="24"/>
                <w:szCs w:val="24"/>
                <w:u w:val="single"/>
              </w:rPr>
              <w:t>859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407C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026F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07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руб./м²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407C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07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07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07C20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407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73,91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521342" w:rsidRDefault="00407C20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521342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065605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065605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38,39</w:t>
            </w:r>
          </w:p>
        </w:tc>
      </w:tr>
      <w:tr w:rsidR="00065605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407C20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521342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521342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065605" w:rsidRPr="00F651FA" w:rsidTr="0006560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05" w:rsidRDefault="00065605" w:rsidP="00065605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06560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05" w:rsidRDefault="00065605" w:rsidP="00065605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06560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5" w:rsidRDefault="00065605" w:rsidP="00065605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43,71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34,85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DE1110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CF7431">
              <w:rPr>
                <w:color w:val="000000"/>
                <w:sz w:val="24"/>
                <w:szCs w:val="24"/>
                <w:u w:val="single"/>
              </w:rPr>
              <w:t>01.06.</w:t>
            </w:r>
            <w:r w:rsidR="00DE1110">
              <w:rPr>
                <w:color w:val="000000"/>
                <w:sz w:val="24"/>
                <w:szCs w:val="24"/>
                <w:u w:val="single"/>
              </w:rPr>
              <w:t>2023</w:t>
            </w:r>
            <w:r w:rsidRPr="00DE1110">
              <w:rPr>
                <w:color w:val="000000"/>
                <w:sz w:val="24"/>
                <w:szCs w:val="24"/>
                <w:u w:val="single"/>
              </w:rPr>
              <w:t xml:space="preserve"> г.</w:t>
            </w:r>
            <w:r w:rsidRPr="007963E2">
              <w:rPr>
                <w:color w:val="000000"/>
                <w:sz w:val="24"/>
                <w:szCs w:val="24"/>
              </w:rPr>
              <w:t xml:space="preserve">  №  </w:t>
            </w:r>
            <w:r w:rsidR="00DE1110">
              <w:rPr>
                <w:color w:val="000000"/>
                <w:sz w:val="24"/>
                <w:szCs w:val="24"/>
                <w:u w:val="single"/>
              </w:rPr>
              <w:t>859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  <w:bookmarkStart w:id="0" w:name="_GoBack"/>
        <w:bookmarkEnd w:id="0"/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811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114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811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114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114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145,35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145,35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4F" w:rsidRPr="00521342" w:rsidRDefault="0081114F" w:rsidP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135,39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3E099A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31" w:rsidRDefault="00CF7431" w:rsidP="00C32E2B">
      <w:r>
        <w:separator/>
      </w:r>
    </w:p>
  </w:endnote>
  <w:endnote w:type="continuationSeparator" w:id="0">
    <w:p w:rsidR="00CF7431" w:rsidRDefault="00CF7431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31" w:rsidRDefault="00CF7431" w:rsidP="00C32E2B">
      <w:r>
        <w:separator/>
      </w:r>
    </w:p>
  </w:footnote>
  <w:footnote w:type="continuationSeparator" w:id="0">
    <w:p w:rsidR="00CF7431" w:rsidRDefault="00CF7431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5605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27E2C"/>
    <w:rsid w:val="001318CB"/>
    <w:rsid w:val="0014106D"/>
    <w:rsid w:val="00160B08"/>
    <w:rsid w:val="0016414C"/>
    <w:rsid w:val="00165B01"/>
    <w:rsid w:val="001A4990"/>
    <w:rsid w:val="001B57C3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97486"/>
    <w:rsid w:val="003A56E5"/>
    <w:rsid w:val="003B6FC0"/>
    <w:rsid w:val="003C7E2D"/>
    <w:rsid w:val="003D29B4"/>
    <w:rsid w:val="003D3220"/>
    <w:rsid w:val="003D5E53"/>
    <w:rsid w:val="003E099A"/>
    <w:rsid w:val="003F1328"/>
    <w:rsid w:val="00407880"/>
    <w:rsid w:val="00407C2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B3A76"/>
    <w:rsid w:val="005B5DC6"/>
    <w:rsid w:val="005C0F1B"/>
    <w:rsid w:val="005D2AB3"/>
    <w:rsid w:val="005D3044"/>
    <w:rsid w:val="005E6167"/>
    <w:rsid w:val="005F61AC"/>
    <w:rsid w:val="005F786F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114F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4570"/>
    <w:rsid w:val="00887634"/>
    <w:rsid w:val="008A364B"/>
    <w:rsid w:val="008A491E"/>
    <w:rsid w:val="008B064D"/>
    <w:rsid w:val="008B12D6"/>
    <w:rsid w:val="008E2BA8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2688B"/>
    <w:rsid w:val="00B413D2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1860"/>
    <w:rsid w:val="00CA3FF8"/>
    <w:rsid w:val="00CB25E7"/>
    <w:rsid w:val="00CC092B"/>
    <w:rsid w:val="00CD5727"/>
    <w:rsid w:val="00CF26E7"/>
    <w:rsid w:val="00CF7431"/>
    <w:rsid w:val="00D0372B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1110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3533B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CB720B5-92E0-4739-A09D-318DAB6E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4</cp:revision>
  <cp:lastPrinted>2023-05-31T10:38:00Z</cp:lastPrinted>
  <dcterms:created xsi:type="dcterms:W3CDTF">2023-05-31T10:37:00Z</dcterms:created>
  <dcterms:modified xsi:type="dcterms:W3CDTF">2023-06-02T05:27:00Z</dcterms:modified>
</cp:coreProperties>
</file>