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E5CE8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BFBF6F" wp14:editId="121FEEC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F1356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3035A907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5A242C5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0CE82F26" w14:textId="77777777" w:rsidR="006D55C7" w:rsidRPr="006D55C7" w:rsidRDefault="006D55C7" w:rsidP="006D5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65856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9278845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3A87E" w14:textId="36B8C82E" w:rsidR="006D55C7" w:rsidRP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14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14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0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00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 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4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1D83B30E" w14:textId="77777777" w:rsidR="006D55C7" w:rsidRPr="006D55C7" w:rsidRDefault="006D55C7" w:rsidP="006D5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451B8" w14:textId="5D21B764" w:rsidR="00E40A50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одобрении дополнительных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оглашений </w:t>
      </w:r>
      <w:proofErr w:type="gramStart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proofErr w:type="gramEnd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5194C0F" w14:textId="77777777" w:rsidR="00E40A50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муниципального района Кинельский</w:t>
      </w:r>
    </w:p>
    <w:p w14:paraId="4ABFF236" w14:textId="77777777" w:rsidR="00E40A50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администрациями сельских поселений Георгиевка, </w:t>
      </w:r>
      <w:proofErr w:type="spellStart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51C13FA5" w14:textId="77777777" w:rsidR="00E40A50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Комсомольский</w:t>
      </w:r>
      <w:proofErr w:type="gramEnd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оглашению, одобренному решением Собрания представителей муниципального района Кинельский № 154 от 18.11.2021 года «Об одобрении</w:t>
      </w:r>
    </w:p>
    <w:p w14:paraId="56549760" w14:textId="77777777" w:rsidR="00E40A50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Соглашений о передаче администрации муниципального района Кинельский администрациями сельских поселений   Бобровка, Георгиевка,  </w:t>
      </w:r>
      <w:proofErr w:type="spellStart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Комсомольский</w:t>
      </w:r>
      <w:proofErr w:type="gramEnd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Малая Малышевка, </w:t>
      </w:r>
    </w:p>
    <w:p w14:paraId="62DAC4A9" w14:textId="77BEB69A" w:rsidR="00E40A50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</w:t>
      </w:r>
      <w:proofErr w:type="gramEnd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Сарбай</w:t>
      </w:r>
      <w:proofErr w:type="spellEnd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полномочи</w:t>
      </w:r>
      <w:r w:rsidR="00DF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14:paraId="30A76C56" w14:textId="77777777" w:rsidR="00E40A50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</w:t>
      </w:r>
      <w:proofErr w:type="spellStart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оздоровительных и спортивных мероприятий поселения,</w:t>
      </w:r>
    </w:p>
    <w:p w14:paraId="3D4F42C3" w14:textId="77777777" w:rsidR="00E40A50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 создания необходимых условий для обеспечения</w:t>
      </w:r>
    </w:p>
    <w:p w14:paraId="7634CEC8" w14:textId="77777777" w:rsidR="00E40A50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доступности занятий физической культурой и спортом, </w:t>
      </w:r>
    </w:p>
    <w:p w14:paraId="57622876" w14:textId="77777777" w:rsidR="00E40A50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подбора, подготовки и повышения квалификации  на 2022 год»</w:t>
      </w:r>
    </w:p>
    <w:p w14:paraId="7DFEF170" w14:textId="6BC341FF" w:rsidR="00A87FAA" w:rsidRDefault="00E40A50" w:rsidP="00E40A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о внесении изменений в приложение к этому решению »</w:t>
      </w:r>
    </w:p>
    <w:p w14:paraId="3CC7CF7E" w14:textId="77777777" w:rsidR="00E40A50" w:rsidRDefault="00E40A50" w:rsidP="00CF0B0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7DE14052" w14:textId="77777777" w:rsidR="00BC232F" w:rsidRDefault="00BC232F" w:rsidP="00CF0B0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 п. 4 ст. 15 Федеральн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456D9707" w14:textId="77777777" w:rsidR="00BC232F" w:rsidRDefault="00BC232F" w:rsidP="00AA26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2009D461" w14:textId="36F97500" w:rsidR="00A87FAA" w:rsidRPr="00A87FAA" w:rsidRDefault="00603DA8" w:rsidP="00A87FAA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87FAA">
        <w:rPr>
          <w:rFonts w:ascii="Times New Roman" w:hAnsi="Times New Roman" w:cs="Times New Roman"/>
          <w:b w:val="0"/>
          <w:color w:val="auto"/>
          <w:spacing w:val="-2"/>
          <w:lang w:eastAsia="ru-RU"/>
        </w:rPr>
        <w:lastRenderedPageBreak/>
        <w:t>1.</w:t>
      </w:r>
      <w:r w:rsidR="003D5793" w:rsidRPr="00A87FAA">
        <w:rPr>
          <w:rFonts w:ascii="Times New Roman" w:hAnsi="Times New Roman" w:cs="Times New Roman"/>
          <w:b w:val="0"/>
          <w:color w:val="auto"/>
          <w:spacing w:val="-2"/>
          <w:lang w:eastAsia="ru-RU"/>
        </w:rPr>
        <w:t xml:space="preserve"> </w:t>
      </w:r>
      <w:proofErr w:type="gramStart"/>
      <w:r w:rsidR="00BC232F" w:rsidRPr="00A87FAA">
        <w:rPr>
          <w:rFonts w:ascii="Times New Roman" w:hAnsi="Times New Roman" w:cs="Times New Roman"/>
          <w:b w:val="0"/>
          <w:color w:val="auto"/>
          <w:spacing w:val="-2"/>
          <w:lang w:eastAsia="ru-RU"/>
        </w:rPr>
        <w:t>Одобрить</w:t>
      </w:r>
      <w:r w:rsidR="00BC232F" w:rsidRPr="00A87FAA">
        <w:rPr>
          <w:rFonts w:ascii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</w:t>
      </w:r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дополнительны</w:t>
      </w:r>
      <w:r w:rsid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е</w:t>
      </w:r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С</w:t>
      </w:r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оглашени</w:t>
      </w:r>
      <w:r w:rsid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между  администрацией муниципального района Кинельский  и администрациями сельских поселений Георгиевка, </w:t>
      </w:r>
      <w:proofErr w:type="spellStart"/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Домашка</w:t>
      </w:r>
      <w:proofErr w:type="spellEnd"/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, Комсомольский муни</w:t>
      </w:r>
      <w:r w:rsid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ципального района Кинельский  к С</w:t>
      </w:r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оглашению, одобренному решением Собрания представителей муниципального района Кинельский № 154 от 18.11.2021 года «Об одобрении Соглашений о передаче администрации муниципального района Кинельский администрациями сельских поселений   Бобровка, Георгиевка,  </w:t>
      </w:r>
      <w:proofErr w:type="spellStart"/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Домашка</w:t>
      </w:r>
      <w:proofErr w:type="spellEnd"/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Комсомольский, Малая Малышевка, Новый </w:t>
      </w:r>
      <w:proofErr w:type="spellStart"/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Сарбай</w:t>
      </w:r>
      <w:proofErr w:type="spellEnd"/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муниципального района Кинельский полномочи</w:t>
      </w:r>
      <w:r w:rsidR="00DF0E32">
        <w:rPr>
          <w:rFonts w:ascii="Times New Roman" w:eastAsia="Times New Roman" w:hAnsi="Times New Roman" w:cs="Times New Roman"/>
          <w:b w:val="0"/>
          <w:color w:val="auto"/>
          <w:lang w:eastAsia="ru-RU"/>
        </w:rPr>
        <w:t>й</w:t>
      </w:r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по обеспечению условий для развития</w:t>
      </w:r>
      <w:proofErr w:type="gramEnd"/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 территории поселения физической культуры, школьного спорта и массового спорта, организации проведения официальных </w:t>
      </w:r>
      <w:proofErr w:type="spellStart"/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>физкультурно</w:t>
      </w:r>
      <w:proofErr w:type="spellEnd"/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– оздоровительных и спортивных мероприятий поселения, в части создания необходимых условий для обеспечения доступности занятий физической культурой и спортом, подбора, подготовки и повышения квалификации  на 2022 год» и  внесени</w:t>
      </w:r>
      <w:r w:rsidR="00DF0E32">
        <w:rPr>
          <w:rFonts w:ascii="Times New Roman" w:eastAsia="Times New Roman" w:hAnsi="Times New Roman" w:cs="Times New Roman"/>
          <w:b w:val="0"/>
          <w:color w:val="auto"/>
          <w:lang w:eastAsia="ru-RU"/>
        </w:rPr>
        <w:t>е</w:t>
      </w:r>
      <w:r w:rsidR="00E40A50" w:rsidRP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изменени</w:t>
      </w:r>
      <w:r w:rsidR="00E40A5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й в приложение к этому решению </w:t>
      </w:r>
    </w:p>
    <w:p w14:paraId="6A5B0E76" w14:textId="5F65D656" w:rsidR="00D96785" w:rsidRDefault="00065A35" w:rsidP="00A87FAA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Собрания представителей</w:t>
      </w:r>
      <w:r w:rsid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№ </w:t>
      </w:r>
      <w:r w:rsidR="00A87FA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40A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7F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изложить в редакции согласно приложени</w:t>
      </w:r>
      <w:r w:rsidR="00DF0E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16174427" w14:textId="485D74AF" w:rsidR="002649BB" w:rsidRPr="002649BB" w:rsidRDefault="00D96785" w:rsidP="00CF0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159E4ABC" w14:textId="25459849" w:rsidR="00BC232F" w:rsidRDefault="00D96785" w:rsidP="00CF0B0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A70264F" w14:textId="77777777" w:rsidR="00DF0E32" w:rsidRDefault="00DF0E32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4109E4" w14:textId="69E2A0EC" w:rsidR="00BC232F" w:rsidRPr="00BC232F" w:rsidRDefault="00BC232F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082524CE" w14:textId="77777777" w:rsidR="00BC232F" w:rsidRPr="00BC232F" w:rsidRDefault="00BC232F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муниципального</w:t>
      </w:r>
    </w:p>
    <w:p w14:paraId="1401B66D" w14:textId="77777777" w:rsidR="00BC232F" w:rsidRPr="00BC232F" w:rsidRDefault="00BC232F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Ю. Д. Плотников</w:t>
      </w:r>
    </w:p>
    <w:p w14:paraId="20C020EE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1EA09F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7F2CB3" w14:textId="77777777" w:rsidR="00D96785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</w:p>
    <w:p w14:paraId="5970A410" w14:textId="77777777" w:rsidR="0081420E" w:rsidRDefault="0081420E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152CD35" w14:textId="77777777" w:rsidR="0081420E" w:rsidRDefault="0081420E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0974A76" w14:textId="77777777" w:rsidR="0081420E" w:rsidRDefault="0081420E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7107365" w14:textId="77777777" w:rsidR="0081420E" w:rsidRDefault="0081420E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D27E480" w14:textId="77777777" w:rsidR="0081420E" w:rsidRDefault="0081420E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75D141" w14:textId="72E7E2EF" w:rsidR="0081420E" w:rsidRDefault="0081420E" w:rsidP="00814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420E">
        <w:rPr>
          <w:rFonts w:ascii="Times New Roman" w:eastAsia="Times New Roman" w:hAnsi="Times New Roman" w:cs="Times New Roman"/>
          <w:lang w:eastAsia="ru-RU"/>
        </w:rPr>
        <w:t>Рассылка: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20E">
        <w:rPr>
          <w:rFonts w:ascii="Times New Roman" w:eastAsia="Times New Roman" w:hAnsi="Times New Roman" w:cs="Times New Roman"/>
          <w:lang w:eastAsia="ru-RU"/>
        </w:rPr>
        <w:t>Прокуратура-1 экз. администрациям сельских поселений Бобровка,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20E">
        <w:rPr>
          <w:rFonts w:ascii="Times New Roman" w:eastAsia="Times New Roman" w:hAnsi="Times New Roman" w:cs="Times New Roman"/>
          <w:lang w:eastAsia="ru-RU"/>
        </w:rPr>
        <w:t>Богдановка,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20E">
        <w:rPr>
          <w:rFonts w:ascii="Times New Roman" w:eastAsia="Times New Roman" w:hAnsi="Times New Roman" w:cs="Times New Roman"/>
          <w:lang w:eastAsia="ru-RU"/>
        </w:rPr>
        <w:t>Георгиевка,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420E">
        <w:rPr>
          <w:rFonts w:ascii="Times New Roman" w:eastAsia="Times New Roman" w:hAnsi="Times New Roman" w:cs="Times New Roman"/>
          <w:lang w:eastAsia="ru-RU"/>
        </w:rPr>
        <w:t>Домашка</w:t>
      </w:r>
      <w:proofErr w:type="spellEnd"/>
      <w:r w:rsidRPr="0081420E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1420E">
        <w:rPr>
          <w:rFonts w:ascii="Times New Roman" w:eastAsia="Times New Roman" w:hAnsi="Times New Roman" w:cs="Times New Roman"/>
          <w:lang w:eastAsia="ru-RU"/>
        </w:rPr>
        <w:t>Комсомольский</w:t>
      </w:r>
      <w:proofErr w:type="gramEnd"/>
      <w:r w:rsidRPr="0081420E">
        <w:rPr>
          <w:rFonts w:ascii="Times New Roman" w:eastAsia="Times New Roman" w:hAnsi="Times New Roman" w:cs="Times New Roman"/>
          <w:lang w:eastAsia="ru-RU"/>
        </w:rPr>
        <w:t xml:space="preserve"> по 1 экз., администрация муниципального района Кинельский – 1 экз., ДМО – 1экз.</w:t>
      </w:r>
    </w:p>
    <w:p w14:paraId="58E95A6B" w14:textId="77777777" w:rsidR="0081420E" w:rsidRDefault="0081420E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B3E905E" w14:textId="77777777" w:rsidR="0081420E" w:rsidRDefault="0081420E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A352349" w14:textId="77777777" w:rsidR="0081420E" w:rsidRDefault="0081420E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397B01D" w14:textId="77777777" w:rsidR="0081420E" w:rsidRDefault="0081420E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CF61222" w14:textId="298DEC95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Приложение </w:t>
      </w:r>
    </w:p>
    <w:p w14:paraId="47226BEE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0E93718A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49777A13" w14:textId="1CD7458D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EF3A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20E">
        <w:rPr>
          <w:rFonts w:ascii="Times New Roman" w:eastAsia="Times New Roman" w:hAnsi="Times New Roman" w:cs="Times New Roman"/>
          <w:lang w:eastAsia="ru-RU"/>
        </w:rPr>
        <w:t>19</w:t>
      </w:r>
      <w:r w:rsidR="00E40A50">
        <w:rPr>
          <w:rFonts w:ascii="Times New Roman" w:eastAsia="Times New Roman" w:hAnsi="Times New Roman" w:cs="Times New Roman"/>
          <w:lang w:eastAsia="ru-RU"/>
        </w:rPr>
        <w:t>3</w:t>
      </w:r>
      <w:r w:rsidR="00F471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1420E">
        <w:rPr>
          <w:rFonts w:ascii="Times New Roman" w:eastAsia="Times New Roman" w:hAnsi="Times New Roman" w:cs="Times New Roman"/>
          <w:lang w:eastAsia="ru-RU"/>
        </w:rPr>
        <w:t>27</w:t>
      </w:r>
      <w:r w:rsidR="00F471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20E">
        <w:rPr>
          <w:rFonts w:ascii="Times New Roman" w:eastAsia="Times New Roman" w:hAnsi="Times New Roman" w:cs="Times New Roman"/>
          <w:lang w:eastAsia="ru-RU"/>
        </w:rPr>
        <w:t>янва</w:t>
      </w:r>
      <w:r w:rsidR="00F47104">
        <w:rPr>
          <w:rFonts w:ascii="Times New Roman" w:eastAsia="Times New Roman" w:hAnsi="Times New Roman" w:cs="Times New Roman"/>
          <w:lang w:eastAsia="ru-RU"/>
        </w:rPr>
        <w:t xml:space="preserve">ря </w:t>
      </w:r>
      <w:r w:rsidR="00EF3A0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81420E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г</w:t>
      </w:r>
    </w:p>
    <w:p w14:paraId="0792F490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8EA2B8" w14:textId="77777777" w:rsidR="0000403B" w:rsidRDefault="0000403B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7A81FC" w14:textId="77777777" w:rsidR="00DF0E32" w:rsidRDefault="00DF0E32" w:rsidP="00DF0E32">
      <w:pPr>
        <w:pStyle w:val="a7"/>
        <w:jc w:val="center"/>
        <w:rPr>
          <w:b/>
          <w:szCs w:val="28"/>
        </w:rPr>
      </w:pPr>
    </w:p>
    <w:p w14:paraId="218D9D0B" w14:textId="77777777" w:rsidR="00DF0E32" w:rsidRPr="000F0EC5" w:rsidRDefault="00DF0E32" w:rsidP="00DF0E32">
      <w:pPr>
        <w:pStyle w:val="a7"/>
        <w:jc w:val="center"/>
        <w:rPr>
          <w:b/>
          <w:szCs w:val="28"/>
        </w:rPr>
      </w:pPr>
      <w:r w:rsidRPr="000F0EC5">
        <w:rPr>
          <w:b/>
          <w:szCs w:val="28"/>
        </w:rPr>
        <w:t>Межбюджетные трансферты</w:t>
      </w:r>
    </w:p>
    <w:p w14:paraId="50CE779A" w14:textId="68B7BCFF" w:rsidR="00DF0E32" w:rsidRPr="00DF0E32" w:rsidRDefault="00DF0E32" w:rsidP="00DF0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0E32">
        <w:rPr>
          <w:rFonts w:ascii="Times New Roman" w:hAnsi="Times New Roman" w:cs="Times New Roman"/>
          <w:b/>
          <w:sz w:val="28"/>
          <w:szCs w:val="28"/>
        </w:rPr>
        <w:t>на осуществление полномочи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F0E32">
        <w:rPr>
          <w:rFonts w:ascii="Times New Roman" w:hAnsi="Times New Roman" w:cs="Times New Roman"/>
          <w:sz w:val="28"/>
          <w:szCs w:val="28"/>
        </w:rPr>
        <w:t xml:space="preserve"> </w:t>
      </w:r>
      <w:r w:rsidRPr="00DF0E32">
        <w:rPr>
          <w:rFonts w:ascii="Times New Roman" w:hAnsi="Times New Roman" w:cs="Times New Roman"/>
          <w:b/>
          <w:sz w:val="28"/>
          <w:szCs w:val="28"/>
        </w:rPr>
        <w:t>по</w:t>
      </w:r>
      <w:r w:rsidRPr="00DF0E32">
        <w:rPr>
          <w:rFonts w:ascii="Times New Roman" w:hAnsi="Times New Roman" w:cs="Times New Roman"/>
          <w:sz w:val="28"/>
          <w:szCs w:val="28"/>
        </w:rPr>
        <w:t xml:space="preserve"> </w:t>
      </w:r>
      <w:r w:rsidRPr="00DF0E32">
        <w:rPr>
          <w:rFonts w:ascii="Times New Roman" w:hAnsi="Times New Roman" w:cs="Times New Roman"/>
          <w:b/>
          <w:sz w:val="28"/>
          <w:szCs w:val="28"/>
        </w:rPr>
        <w:t xml:space="preserve">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</w:t>
      </w:r>
      <w:proofErr w:type="spellStart"/>
      <w:r w:rsidRPr="00DF0E32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DF0E32">
        <w:rPr>
          <w:rFonts w:ascii="Times New Roman" w:hAnsi="Times New Roman" w:cs="Times New Roman"/>
          <w:b/>
          <w:sz w:val="28"/>
          <w:szCs w:val="28"/>
        </w:rPr>
        <w:t xml:space="preserve"> – оздоровительных и спортивных мероприятий поселений на 2022 год</w:t>
      </w:r>
      <w:r w:rsidRPr="00DF0E32">
        <w:rPr>
          <w:rFonts w:ascii="Times New Roman" w:hAnsi="Times New Roman" w:cs="Times New Roman"/>
          <w:b/>
          <w:szCs w:val="28"/>
        </w:rPr>
        <w:t xml:space="preserve"> </w:t>
      </w:r>
      <w:r w:rsidRPr="00DF0E32">
        <w:rPr>
          <w:rFonts w:ascii="Times New Roman" w:hAnsi="Times New Roman" w:cs="Times New Roman"/>
          <w:b/>
          <w:sz w:val="28"/>
          <w:szCs w:val="28"/>
        </w:rPr>
        <w:t xml:space="preserve">за счет межбюджетных  трансфертов, предоставляемых из бюджета сельских  поселений   Бобровка, Георгиевка, </w:t>
      </w:r>
      <w:proofErr w:type="spellStart"/>
      <w:r w:rsidRPr="00DF0E32">
        <w:rPr>
          <w:rFonts w:ascii="Times New Roman" w:hAnsi="Times New Roman" w:cs="Times New Roman"/>
          <w:b/>
          <w:sz w:val="28"/>
          <w:szCs w:val="28"/>
        </w:rPr>
        <w:t>Домашка</w:t>
      </w:r>
      <w:proofErr w:type="spellEnd"/>
      <w:r w:rsidRPr="00DF0E32">
        <w:rPr>
          <w:rFonts w:ascii="Times New Roman" w:hAnsi="Times New Roman" w:cs="Times New Roman"/>
          <w:b/>
          <w:sz w:val="28"/>
          <w:szCs w:val="28"/>
        </w:rPr>
        <w:t xml:space="preserve">, Комсомольский, Новый </w:t>
      </w:r>
      <w:proofErr w:type="spellStart"/>
      <w:r w:rsidRPr="00DF0E32">
        <w:rPr>
          <w:rFonts w:ascii="Times New Roman" w:hAnsi="Times New Roman" w:cs="Times New Roman"/>
          <w:b/>
          <w:sz w:val="28"/>
          <w:szCs w:val="28"/>
        </w:rPr>
        <w:t>Сарбай</w:t>
      </w:r>
      <w:proofErr w:type="spellEnd"/>
      <w:r w:rsidRPr="00DF0E32">
        <w:rPr>
          <w:rFonts w:ascii="Times New Roman" w:hAnsi="Times New Roman" w:cs="Times New Roman"/>
          <w:b/>
          <w:sz w:val="28"/>
          <w:szCs w:val="28"/>
        </w:rPr>
        <w:t xml:space="preserve">, Малая Малышевка в бюджет муниципального района Кинельский  в соответствии с заключаемыми </w:t>
      </w:r>
      <w:r w:rsidR="00851C0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F0E32">
        <w:rPr>
          <w:rFonts w:ascii="Times New Roman" w:hAnsi="Times New Roman" w:cs="Times New Roman"/>
          <w:b/>
          <w:sz w:val="28"/>
          <w:szCs w:val="28"/>
        </w:rPr>
        <w:t>Соглашениями</w:t>
      </w:r>
      <w:proofErr w:type="gramEnd"/>
    </w:p>
    <w:p w14:paraId="1BCF2929" w14:textId="77777777" w:rsidR="00DF0E32" w:rsidRDefault="00DF0E32" w:rsidP="00DF0E32">
      <w:pPr>
        <w:pStyle w:val="a7"/>
        <w:jc w:val="center"/>
        <w:rPr>
          <w:b/>
          <w:szCs w:val="28"/>
        </w:rPr>
      </w:pPr>
    </w:p>
    <w:p w14:paraId="533EA0B0" w14:textId="77777777" w:rsidR="00DF0E32" w:rsidRDefault="00DF0E32" w:rsidP="00DF0E32">
      <w:pPr>
        <w:pStyle w:val="a7"/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035"/>
        <w:gridCol w:w="4820"/>
      </w:tblGrid>
      <w:tr w:rsidR="00DF0E32" w:rsidRPr="00823A65" w14:paraId="680205C9" w14:textId="77777777" w:rsidTr="00083114">
        <w:tc>
          <w:tcPr>
            <w:tcW w:w="751" w:type="dxa"/>
          </w:tcPr>
          <w:p w14:paraId="24A76E62" w14:textId="77777777" w:rsidR="00DF0E32" w:rsidRPr="003E755F" w:rsidRDefault="00DF0E32" w:rsidP="00083114">
            <w:pPr>
              <w:pStyle w:val="a7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>№№</w:t>
            </w:r>
          </w:p>
          <w:p w14:paraId="46427566" w14:textId="77777777" w:rsidR="00DF0E32" w:rsidRPr="003E755F" w:rsidRDefault="00DF0E32" w:rsidP="00083114">
            <w:pPr>
              <w:pStyle w:val="a7"/>
              <w:jc w:val="center"/>
              <w:rPr>
                <w:b/>
                <w:sz w:val="26"/>
                <w:szCs w:val="26"/>
              </w:rPr>
            </w:pPr>
            <w:proofErr w:type="spellStart"/>
            <w:r w:rsidRPr="003E755F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5" w:type="dxa"/>
          </w:tcPr>
          <w:p w14:paraId="7E9EB50C" w14:textId="77777777" w:rsidR="00DF0E32" w:rsidRPr="003E755F" w:rsidRDefault="00DF0E32" w:rsidP="00083114">
            <w:pPr>
              <w:pStyle w:val="a7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>Наименование</w:t>
            </w:r>
          </w:p>
          <w:p w14:paraId="29949C40" w14:textId="77777777" w:rsidR="00DF0E32" w:rsidRPr="003E755F" w:rsidRDefault="00DF0E32" w:rsidP="00083114">
            <w:pPr>
              <w:pStyle w:val="a7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0" w:type="dxa"/>
          </w:tcPr>
          <w:p w14:paraId="453B05B6" w14:textId="77777777" w:rsidR="00DF0E32" w:rsidRPr="003E755F" w:rsidRDefault="00DF0E32" w:rsidP="00083114">
            <w:pPr>
              <w:pStyle w:val="a7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 xml:space="preserve">Сумма </w:t>
            </w:r>
          </w:p>
          <w:p w14:paraId="0456F562" w14:textId="77777777" w:rsidR="00DF0E32" w:rsidRPr="003E755F" w:rsidRDefault="00DF0E32" w:rsidP="00083114">
            <w:pPr>
              <w:pStyle w:val="a7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14:paraId="1710510C" w14:textId="77777777" w:rsidR="00DF0E32" w:rsidRPr="003E755F" w:rsidRDefault="00DF0E32" w:rsidP="00083114">
            <w:pPr>
              <w:pStyle w:val="a7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 xml:space="preserve">                                       в руб.</w:t>
            </w:r>
          </w:p>
        </w:tc>
      </w:tr>
      <w:tr w:rsidR="00DF0E32" w:rsidRPr="00493930" w14:paraId="0528E94A" w14:textId="77777777" w:rsidTr="00083114">
        <w:tc>
          <w:tcPr>
            <w:tcW w:w="751" w:type="dxa"/>
          </w:tcPr>
          <w:p w14:paraId="30A4D45A" w14:textId="77777777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273E23">
              <w:rPr>
                <w:szCs w:val="28"/>
              </w:rPr>
              <w:t>1</w:t>
            </w:r>
          </w:p>
        </w:tc>
        <w:tc>
          <w:tcPr>
            <w:tcW w:w="4035" w:type="dxa"/>
          </w:tcPr>
          <w:p w14:paraId="3E733C7D" w14:textId="77777777" w:rsidR="00DF0E32" w:rsidRPr="00273E23" w:rsidRDefault="00DF0E32" w:rsidP="00083114">
            <w:pPr>
              <w:pStyle w:val="a7"/>
              <w:rPr>
                <w:szCs w:val="28"/>
              </w:rPr>
            </w:pPr>
            <w:r w:rsidRPr="00273E23">
              <w:rPr>
                <w:szCs w:val="28"/>
              </w:rPr>
              <w:t>Георгиевка</w:t>
            </w:r>
          </w:p>
        </w:tc>
        <w:tc>
          <w:tcPr>
            <w:tcW w:w="4820" w:type="dxa"/>
          </w:tcPr>
          <w:p w14:paraId="65E45F4D" w14:textId="39DBE679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DF0E32">
              <w:rPr>
                <w:szCs w:val="28"/>
              </w:rPr>
              <w:t>243207,60</w:t>
            </w:r>
          </w:p>
        </w:tc>
      </w:tr>
      <w:tr w:rsidR="00DF0E32" w:rsidRPr="00493930" w14:paraId="685231AF" w14:textId="77777777" w:rsidTr="00083114">
        <w:tc>
          <w:tcPr>
            <w:tcW w:w="751" w:type="dxa"/>
          </w:tcPr>
          <w:p w14:paraId="0D8A66F8" w14:textId="77777777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273E23">
              <w:rPr>
                <w:szCs w:val="28"/>
              </w:rPr>
              <w:t>2</w:t>
            </w:r>
          </w:p>
        </w:tc>
        <w:tc>
          <w:tcPr>
            <w:tcW w:w="4035" w:type="dxa"/>
          </w:tcPr>
          <w:p w14:paraId="119CFC95" w14:textId="77777777" w:rsidR="00DF0E32" w:rsidRPr="00273E23" w:rsidRDefault="00DF0E32" w:rsidP="00083114">
            <w:pPr>
              <w:pStyle w:val="a7"/>
              <w:rPr>
                <w:szCs w:val="28"/>
              </w:rPr>
            </w:pPr>
            <w:proofErr w:type="spellStart"/>
            <w:r w:rsidRPr="00273E23">
              <w:rPr>
                <w:szCs w:val="28"/>
              </w:rPr>
              <w:t>Домашка</w:t>
            </w:r>
            <w:proofErr w:type="spellEnd"/>
          </w:p>
        </w:tc>
        <w:tc>
          <w:tcPr>
            <w:tcW w:w="4820" w:type="dxa"/>
          </w:tcPr>
          <w:p w14:paraId="4E92945A" w14:textId="65682C7C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DF0E32">
              <w:rPr>
                <w:szCs w:val="28"/>
              </w:rPr>
              <w:t>111752,16</w:t>
            </w:r>
          </w:p>
        </w:tc>
      </w:tr>
      <w:tr w:rsidR="00DF0E32" w:rsidRPr="00493930" w14:paraId="41CD0CA4" w14:textId="77777777" w:rsidTr="00083114">
        <w:tc>
          <w:tcPr>
            <w:tcW w:w="751" w:type="dxa"/>
          </w:tcPr>
          <w:p w14:paraId="3449037B" w14:textId="77777777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273E23">
              <w:rPr>
                <w:szCs w:val="28"/>
              </w:rPr>
              <w:t>3</w:t>
            </w:r>
          </w:p>
        </w:tc>
        <w:tc>
          <w:tcPr>
            <w:tcW w:w="4035" w:type="dxa"/>
          </w:tcPr>
          <w:p w14:paraId="701757A7" w14:textId="77777777" w:rsidR="00DF0E32" w:rsidRPr="00273E23" w:rsidRDefault="00DF0E32" w:rsidP="00083114">
            <w:pPr>
              <w:pStyle w:val="a7"/>
              <w:rPr>
                <w:szCs w:val="28"/>
              </w:rPr>
            </w:pPr>
            <w:r w:rsidRPr="00273E23">
              <w:rPr>
                <w:szCs w:val="28"/>
              </w:rPr>
              <w:t>Комсомольский</w:t>
            </w:r>
          </w:p>
        </w:tc>
        <w:tc>
          <w:tcPr>
            <w:tcW w:w="4820" w:type="dxa"/>
          </w:tcPr>
          <w:p w14:paraId="4A8A96EE" w14:textId="40424B42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DF0E32">
              <w:rPr>
                <w:szCs w:val="28"/>
              </w:rPr>
              <w:t>90621,36</w:t>
            </w:r>
          </w:p>
        </w:tc>
      </w:tr>
      <w:tr w:rsidR="00DF0E32" w:rsidRPr="00493930" w14:paraId="0F77235B" w14:textId="77777777" w:rsidTr="00083114">
        <w:tc>
          <w:tcPr>
            <w:tcW w:w="751" w:type="dxa"/>
          </w:tcPr>
          <w:p w14:paraId="726AC3CB" w14:textId="77777777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273E23">
              <w:rPr>
                <w:szCs w:val="28"/>
              </w:rPr>
              <w:t>4</w:t>
            </w:r>
          </w:p>
        </w:tc>
        <w:tc>
          <w:tcPr>
            <w:tcW w:w="4035" w:type="dxa"/>
          </w:tcPr>
          <w:p w14:paraId="04E6493F" w14:textId="77777777" w:rsidR="00DF0E32" w:rsidRPr="00273E23" w:rsidRDefault="00DF0E32" w:rsidP="00083114">
            <w:pPr>
              <w:pStyle w:val="a7"/>
              <w:rPr>
                <w:szCs w:val="28"/>
              </w:rPr>
            </w:pPr>
            <w:r w:rsidRPr="00273E23">
              <w:rPr>
                <w:szCs w:val="28"/>
              </w:rPr>
              <w:t xml:space="preserve">Новый </w:t>
            </w:r>
            <w:proofErr w:type="spellStart"/>
            <w:r w:rsidRPr="00273E23">
              <w:rPr>
                <w:szCs w:val="28"/>
              </w:rPr>
              <w:t>Сарбай</w:t>
            </w:r>
            <w:proofErr w:type="spellEnd"/>
          </w:p>
        </w:tc>
        <w:tc>
          <w:tcPr>
            <w:tcW w:w="4820" w:type="dxa"/>
          </w:tcPr>
          <w:p w14:paraId="1194AB2A" w14:textId="77777777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273E23">
              <w:rPr>
                <w:szCs w:val="28"/>
              </w:rPr>
              <w:t>30000,00</w:t>
            </w:r>
          </w:p>
        </w:tc>
      </w:tr>
      <w:tr w:rsidR="00DF0E32" w:rsidRPr="00493930" w14:paraId="542951DB" w14:textId="77777777" w:rsidTr="00083114">
        <w:tc>
          <w:tcPr>
            <w:tcW w:w="751" w:type="dxa"/>
          </w:tcPr>
          <w:p w14:paraId="68941D44" w14:textId="77777777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273E23">
              <w:rPr>
                <w:szCs w:val="28"/>
              </w:rPr>
              <w:t>5</w:t>
            </w:r>
          </w:p>
        </w:tc>
        <w:tc>
          <w:tcPr>
            <w:tcW w:w="4035" w:type="dxa"/>
          </w:tcPr>
          <w:p w14:paraId="1533B749" w14:textId="77777777" w:rsidR="00DF0E32" w:rsidRPr="00273E23" w:rsidRDefault="00DF0E32" w:rsidP="00083114">
            <w:pPr>
              <w:pStyle w:val="a7"/>
              <w:rPr>
                <w:szCs w:val="28"/>
              </w:rPr>
            </w:pPr>
            <w:r w:rsidRPr="00273E23">
              <w:rPr>
                <w:szCs w:val="28"/>
              </w:rPr>
              <w:t>Малая Малышевка</w:t>
            </w:r>
          </w:p>
        </w:tc>
        <w:tc>
          <w:tcPr>
            <w:tcW w:w="4820" w:type="dxa"/>
          </w:tcPr>
          <w:p w14:paraId="7C0B2F7A" w14:textId="77777777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273E23">
              <w:rPr>
                <w:szCs w:val="28"/>
              </w:rPr>
              <w:t>10000,00</w:t>
            </w:r>
          </w:p>
        </w:tc>
      </w:tr>
      <w:tr w:rsidR="00DF0E32" w:rsidRPr="00493930" w14:paraId="6D370AE6" w14:textId="77777777" w:rsidTr="00083114">
        <w:tc>
          <w:tcPr>
            <w:tcW w:w="751" w:type="dxa"/>
          </w:tcPr>
          <w:p w14:paraId="5036262F" w14:textId="77777777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273E23">
              <w:rPr>
                <w:szCs w:val="28"/>
              </w:rPr>
              <w:t>6</w:t>
            </w:r>
          </w:p>
        </w:tc>
        <w:tc>
          <w:tcPr>
            <w:tcW w:w="4035" w:type="dxa"/>
          </w:tcPr>
          <w:p w14:paraId="4863BAEE" w14:textId="77777777" w:rsidR="00DF0E32" w:rsidRPr="00273E23" w:rsidRDefault="00DF0E32" w:rsidP="00083114">
            <w:pPr>
              <w:pStyle w:val="a7"/>
              <w:rPr>
                <w:szCs w:val="28"/>
              </w:rPr>
            </w:pPr>
            <w:r w:rsidRPr="00273E23">
              <w:rPr>
                <w:szCs w:val="28"/>
              </w:rPr>
              <w:t>Бобровка</w:t>
            </w:r>
          </w:p>
        </w:tc>
        <w:tc>
          <w:tcPr>
            <w:tcW w:w="4820" w:type="dxa"/>
          </w:tcPr>
          <w:p w14:paraId="35071ED8" w14:textId="77777777" w:rsidR="00DF0E32" w:rsidRPr="00273E23" w:rsidRDefault="00DF0E32" w:rsidP="00083114">
            <w:pPr>
              <w:pStyle w:val="a7"/>
              <w:jc w:val="center"/>
              <w:rPr>
                <w:szCs w:val="28"/>
              </w:rPr>
            </w:pPr>
            <w:r w:rsidRPr="00273E23">
              <w:rPr>
                <w:szCs w:val="28"/>
              </w:rPr>
              <w:t>20000,00</w:t>
            </w:r>
          </w:p>
        </w:tc>
      </w:tr>
    </w:tbl>
    <w:p w14:paraId="2F9FD3D0" w14:textId="77777777" w:rsidR="00DF0E32" w:rsidRPr="00A50C89" w:rsidRDefault="00DF0E32" w:rsidP="00E40A50">
      <w:pPr>
        <w:pStyle w:val="a7"/>
        <w:jc w:val="center"/>
        <w:rPr>
          <w:sz w:val="26"/>
          <w:szCs w:val="26"/>
        </w:rPr>
      </w:pPr>
    </w:p>
    <w:sectPr w:rsidR="00DF0E32" w:rsidRPr="00A50C89" w:rsidSect="003D12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0403B"/>
    <w:rsid w:val="000201BC"/>
    <w:rsid w:val="00053B37"/>
    <w:rsid w:val="00065A35"/>
    <w:rsid w:val="000B22A5"/>
    <w:rsid w:val="00161B5B"/>
    <w:rsid w:val="00166414"/>
    <w:rsid w:val="00171E10"/>
    <w:rsid w:val="00184671"/>
    <w:rsid w:val="001D7D7E"/>
    <w:rsid w:val="001E12C4"/>
    <w:rsid w:val="0025469D"/>
    <w:rsid w:val="002618F5"/>
    <w:rsid w:val="002649BB"/>
    <w:rsid w:val="00312F9A"/>
    <w:rsid w:val="003A0798"/>
    <w:rsid w:val="003D1287"/>
    <w:rsid w:val="003D5793"/>
    <w:rsid w:val="004049E6"/>
    <w:rsid w:val="004528F7"/>
    <w:rsid w:val="004E2AFE"/>
    <w:rsid w:val="00531351"/>
    <w:rsid w:val="00591424"/>
    <w:rsid w:val="005A5B27"/>
    <w:rsid w:val="005F5037"/>
    <w:rsid w:val="006038D2"/>
    <w:rsid w:val="00603DA8"/>
    <w:rsid w:val="006B3C4D"/>
    <w:rsid w:val="006D55C7"/>
    <w:rsid w:val="00763AFA"/>
    <w:rsid w:val="00766400"/>
    <w:rsid w:val="00794AB4"/>
    <w:rsid w:val="00796D5C"/>
    <w:rsid w:val="0081420E"/>
    <w:rsid w:val="00830F03"/>
    <w:rsid w:val="00845787"/>
    <w:rsid w:val="00851C0A"/>
    <w:rsid w:val="00865B10"/>
    <w:rsid w:val="00875860"/>
    <w:rsid w:val="008C0CCE"/>
    <w:rsid w:val="00925602"/>
    <w:rsid w:val="00973BD2"/>
    <w:rsid w:val="00975003"/>
    <w:rsid w:val="009851BE"/>
    <w:rsid w:val="00A50C89"/>
    <w:rsid w:val="00A875ED"/>
    <w:rsid w:val="00A87FAA"/>
    <w:rsid w:val="00A95C11"/>
    <w:rsid w:val="00AA2652"/>
    <w:rsid w:val="00AB646F"/>
    <w:rsid w:val="00B372D1"/>
    <w:rsid w:val="00B67B4F"/>
    <w:rsid w:val="00BB36C1"/>
    <w:rsid w:val="00BC232F"/>
    <w:rsid w:val="00BC39A6"/>
    <w:rsid w:val="00C06320"/>
    <w:rsid w:val="00C16128"/>
    <w:rsid w:val="00C23C5A"/>
    <w:rsid w:val="00CA5EE1"/>
    <w:rsid w:val="00CF0B0B"/>
    <w:rsid w:val="00D30C58"/>
    <w:rsid w:val="00D96785"/>
    <w:rsid w:val="00DC5D9A"/>
    <w:rsid w:val="00DF0E32"/>
    <w:rsid w:val="00E40A50"/>
    <w:rsid w:val="00E628D2"/>
    <w:rsid w:val="00E9233D"/>
    <w:rsid w:val="00EA4D82"/>
    <w:rsid w:val="00EF3A02"/>
    <w:rsid w:val="00F157F5"/>
    <w:rsid w:val="00F47104"/>
    <w:rsid w:val="00F62E65"/>
    <w:rsid w:val="00F7285A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A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  <w:style w:type="paragraph" w:styleId="a6">
    <w:name w:val="No Spacing"/>
    <w:uiPriority w:val="1"/>
    <w:qFormat/>
    <w:rsid w:val="00F471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7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81420E"/>
    <w:pPr>
      <w:suppressAutoHyphens/>
      <w:spacing w:after="1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420E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  <w:style w:type="paragraph" w:styleId="a6">
    <w:name w:val="No Spacing"/>
    <w:uiPriority w:val="1"/>
    <w:qFormat/>
    <w:rsid w:val="00F471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7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81420E"/>
    <w:pPr>
      <w:suppressAutoHyphens/>
      <w:spacing w:after="1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420E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Хафиятуллова Алсу Харисовна</cp:lastModifiedBy>
  <cp:revision>12</cp:revision>
  <cp:lastPrinted>2019-11-19T07:24:00Z</cp:lastPrinted>
  <dcterms:created xsi:type="dcterms:W3CDTF">2021-12-23T04:34:00Z</dcterms:created>
  <dcterms:modified xsi:type="dcterms:W3CDTF">2022-01-24T07:15:00Z</dcterms:modified>
</cp:coreProperties>
</file>